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1930" w14:textId="2A3A33AD" w:rsidR="00D07805" w:rsidRDefault="00D07805" w:rsidP="00942F60"/>
    <w:p w14:paraId="15DD4453" w14:textId="6492DAC6" w:rsidR="003A5177" w:rsidRDefault="003A5177" w:rsidP="00942F60"/>
    <w:p w14:paraId="15DAFF23" w14:textId="77777777" w:rsidR="003A5177" w:rsidRDefault="003A5177" w:rsidP="00942F60">
      <w:r>
        <w:tab/>
      </w:r>
    </w:p>
    <w:p w14:paraId="35AB6897" w14:textId="77777777" w:rsidR="003A5177" w:rsidRDefault="003A5177" w:rsidP="00942F60"/>
    <w:p w14:paraId="019D82B0" w14:textId="77777777" w:rsidR="003A5177" w:rsidRDefault="003A5177" w:rsidP="00942F60"/>
    <w:p w14:paraId="4E5E88DB" w14:textId="77777777" w:rsidR="003A5177" w:rsidRDefault="003A5177" w:rsidP="00942F60"/>
    <w:p w14:paraId="0E4CBF78" w14:textId="77777777" w:rsidR="003A5177" w:rsidRDefault="003A5177" w:rsidP="00942F60"/>
    <w:p w14:paraId="66C1D63A" w14:textId="77777777" w:rsidR="003A5177" w:rsidRDefault="003A5177" w:rsidP="00942F60"/>
    <w:p w14:paraId="1B683962" w14:textId="77777777" w:rsidR="003A5177" w:rsidRDefault="003A5177" w:rsidP="00942F60"/>
    <w:p w14:paraId="5A659128" w14:textId="354461C9" w:rsidR="003A5177" w:rsidRPr="003A5177" w:rsidRDefault="003A5177" w:rsidP="003A5177">
      <w:pPr>
        <w:ind w:left="720" w:firstLine="720"/>
        <w:rPr>
          <w:sz w:val="56"/>
          <w:szCs w:val="56"/>
        </w:rPr>
      </w:pPr>
      <w:r w:rsidRPr="003A5177">
        <w:rPr>
          <w:sz w:val="56"/>
          <w:szCs w:val="56"/>
        </w:rPr>
        <w:t>Linear Investments Limited</w:t>
      </w:r>
    </w:p>
    <w:p w14:paraId="7CE863C4" w14:textId="24EF1912" w:rsidR="003A5177" w:rsidRDefault="003A5177" w:rsidP="00942F60">
      <w:pPr>
        <w:rPr>
          <w:sz w:val="56"/>
          <w:szCs w:val="56"/>
        </w:rPr>
      </w:pPr>
    </w:p>
    <w:p w14:paraId="03A17ED7" w14:textId="658BB387" w:rsidR="003A5177" w:rsidRDefault="003A5177" w:rsidP="00942F60">
      <w:pPr>
        <w:rPr>
          <w:sz w:val="56"/>
          <w:szCs w:val="56"/>
        </w:rPr>
      </w:pPr>
    </w:p>
    <w:p w14:paraId="3B732F70" w14:textId="4CEFBD05" w:rsidR="003A5177" w:rsidRDefault="003A5177" w:rsidP="00942F60">
      <w:pPr>
        <w:rPr>
          <w:sz w:val="56"/>
          <w:szCs w:val="56"/>
        </w:rPr>
      </w:pPr>
    </w:p>
    <w:p w14:paraId="243340C9" w14:textId="5D491BEF" w:rsidR="003A5177" w:rsidRDefault="003A5177" w:rsidP="00942F60">
      <w:pPr>
        <w:rPr>
          <w:sz w:val="56"/>
          <w:szCs w:val="56"/>
        </w:rPr>
      </w:pPr>
    </w:p>
    <w:p w14:paraId="4175C491" w14:textId="68DE5210" w:rsidR="003A5177" w:rsidRPr="003A5177" w:rsidRDefault="003A5177" w:rsidP="003A5177">
      <w:pPr>
        <w:ind w:left="2160"/>
        <w:rPr>
          <w:sz w:val="56"/>
          <w:szCs w:val="56"/>
        </w:rPr>
      </w:pPr>
      <w:r w:rsidRPr="003A5177">
        <w:rPr>
          <w:sz w:val="56"/>
          <w:szCs w:val="56"/>
        </w:rPr>
        <w:t xml:space="preserve">  FRN: 537389</w:t>
      </w:r>
    </w:p>
    <w:p w14:paraId="35B474EA" w14:textId="66F6058E" w:rsidR="003A5177" w:rsidRPr="003A5177" w:rsidRDefault="003A5177" w:rsidP="00942F60">
      <w:pPr>
        <w:rPr>
          <w:sz w:val="56"/>
          <w:szCs w:val="56"/>
        </w:rPr>
      </w:pPr>
    </w:p>
    <w:p w14:paraId="5CD6DE2C" w14:textId="77777777" w:rsidR="003A5177" w:rsidRDefault="003A5177" w:rsidP="00942F60">
      <w:pPr>
        <w:rPr>
          <w:sz w:val="56"/>
          <w:szCs w:val="56"/>
        </w:rPr>
      </w:pPr>
    </w:p>
    <w:p w14:paraId="7D2F64BA" w14:textId="77777777" w:rsidR="003A5177" w:rsidRDefault="003A5177" w:rsidP="00942F60">
      <w:pPr>
        <w:rPr>
          <w:sz w:val="56"/>
          <w:szCs w:val="56"/>
        </w:rPr>
      </w:pPr>
    </w:p>
    <w:p w14:paraId="6A55850F" w14:textId="77777777" w:rsidR="003A5177" w:rsidRDefault="003A5177" w:rsidP="00942F60">
      <w:pPr>
        <w:rPr>
          <w:sz w:val="56"/>
          <w:szCs w:val="56"/>
        </w:rPr>
      </w:pPr>
    </w:p>
    <w:p w14:paraId="0E184B94" w14:textId="77777777" w:rsidR="003A5177" w:rsidRDefault="003A5177" w:rsidP="00942F60">
      <w:pPr>
        <w:rPr>
          <w:sz w:val="56"/>
          <w:szCs w:val="56"/>
        </w:rPr>
      </w:pPr>
    </w:p>
    <w:p w14:paraId="073FFC8B" w14:textId="270D88B5" w:rsidR="003A5177" w:rsidRDefault="003A5177" w:rsidP="003A5177">
      <w:pPr>
        <w:ind w:firstLine="720"/>
        <w:rPr>
          <w:sz w:val="56"/>
          <w:szCs w:val="56"/>
        </w:rPr>
      </w:pPr>
      <w:r w:rsidRPr="003A5177">
        <w:rPr>
          <w:sz w:val="56"/>
          <w:szCs w:val="56"/>
        </w:rPr>
        <w:t>IFPR Disclosure: November 202</w:t>
      </w:r>
      <w:r w:rsidR="00230BA3">
        <w:rPr>
          <w:sz w:val="56"/>
          <w:szCs w:val="56"/>
        </w:rPr>
        <w:t>2</w:t>
      </w:r>
    </w:p>
    <w:p w14:paraId="3965FA67" w14:textId="184418B6" w:rsidR="00807CEA" w:rsidRDefault="00807CEA" w:rsidP="003A5177">
      <w:pPr>
        <w:ind w:firstLine="720"/>
        <w:rPr>
          <w:sz w:val="56"/>
          <w:szCs w:val="56"/>
        </w:rPr>
      </w:pPr>
    </w:p>
    <w:p w14:paraId="0774C90D" w14:textId="26519D6A" w:rsidR="00807CEA" w:rsidRDefault="00807CEA" w:rsidP="003A5177">
      <w:pPr>
        <w:ind w:firstLine="720"/>
        <w:rPr>
          <w:sz w:val="56"/>
          <w:szCs w:val="56"/>
        </w:rPr>
      </w:pPr>
    </w:p>
    <w:p w14:paraId="2410ACFF" w14:textId="2EC98309" w:rsidR="00807CEA" w:rsidRDefault="00807CEA" w:rsidP="003A5177">
      <w:pPr>
        <w:ind w:firstLine="720"/>
        <w:rPr>
          <w:sz w:val="56"/>
          <w:szCs w:val="56"/>
        </w:rPr>
      </w:pPr>
    </w:p>
    <w:p w14:paraId="03B4C64B" w14:textId="4927CC70" w:rsidR="00807CEA" w:rsidRDefault="00807CEA" w:rsidP="003A5177">
      <w:pPr>
        <w:ind w:firstLine="720"/>
        <w:rPr>
          <w:sz w:val="56"/>
          <w:szCs w:val="56"/>
        </w:rPr>
      </w:pPr>
    </w:p>
    <w:p w14:paraId="16DAD070" w14:textId="637B13CE" w:rsidR="00807CEA" w:rsidRDefault="00807CEA" w:rsidP="003A5177">
      <w:pPr>
        <w:ind w:firstLine="720"/>
        <w:rPr>
          <w:sz w:val="56"/>
          <w:szCs w:val="56"/>
        </w:rPr>
      </w:pPr>
    </w:p>
    <w:p w14:paraId="03B3ABBE" w14:textId="1ED04CB3" w:rsidR="00807CEA" w:rsidRDefault="00807CEA" w:rsidP="003A5177">
      <w:pPr>
        <w:ind w:firstLine="720"/>
        <w:rPr>
          <w:sz w:val="56"/>
          <w:szCs w:val="56"/>
        </w:rPr>
      </w:pPr>
    </w:p>
    <w:p w14:paraId="381B3D1A" w14:textId="0803F2A1" w:rsidR="00807CEA" w:rsidRDefault="00807CEA" w:rsidP="003A5177">
      <w:pPr>
        <w:ind w:firstLine="720"/>
        <w:rPr>
          <w:sz w:val="56"/>
          <w:szCs w:val="56"/>
        </w:rPr>
      </w:pPr>
    </w:p>
    <w:p w14:paraId="33080902" w14:textId="17001303" w:rsidR="00807CEA" w:rsidRPr="005970EE" w:rsidRDefault="00807CEA" w:rsidP="005970EE">
      <w:pPr>
        <w:pStyle w:val="ListParagraph"/>
        <w:numPr>
          <w:ilvl w:val="0"/>
          <w:numId w:val="9"/>
        </w:numPr>
        <w:rPr>
          <w:rFonts w:asciiTheme="minorHAnsi" w:hAnsiTheme="minorHAnsi" w:cstheme="minorHAnsi"/>
          <w:b/>
          <w:bCs/>
          <w:sz w:val="28"/>
          <w:szCs w:val="28"/>
          <w:u w:val="single"/>
        </w:rPr>
      </w:pPr>
      <w:r w:rsidRPr="005970EE">
        <w:rPr>
          <w:rFonts w:asciiTheme="minorHAnsi" w:hAnsiTheme="minorHAnsi" w:cstheme="minorHAnsi"/>
          <w:b/>
          <w:bCs/>
          <w:sz w:val="28"/>
          <w:szCs w:val="28"/>
          <w:u w:val="single"/>
        </w:rPr>
        <w:t>Introduction</w:t>
      </w:r>
    </w:p>
    <w:p w14:paraId="7B1CACE3" w14:textId="16217F79" w:rsidR="005970EE" w:rsidRDefault="005970EE" w:rsidP="00807CEA">
      <w:pPr>
        <w:rPr>
          <w:rFonts w:asciiTheme="minorHAnsi" w:hAnsiTheme="minorHAnsi" w:cstheme="minorHAnsi"/>
          <w:b/>
          <w:bCs/>
          <w:sz w:val="28"/>
          <w:szCs w:val="28"/>
          <w:u w:val="single"/>
        </w:rPr>
      </w:pPr>
    </w:p>
    <w:p w14:paraId="645213C1" w14:textId="08010462" w:rsidR="005970EE" w:rsidRPr="00816669" w:rsidRDefault="004916B4" w:rsidP="005970EE">
      <w:pPr>
        <w:pStyle w:val="BodyText"/>
        <w:spacing w:after="240"/>
        <w:ind w:right="-52"/>
        <w:jc w:val="both"/>
        <w:rPr>
          <w:rFonts w:asciiTheme="minorHAnsi" w:eastAsiaTheme="minorHAnsi" w:hAnsiTheme="minorHAnsi" w:cstheme="minorHAnsi"/>
          <w:szCs w:val="22"/>
        </w:rPr>
      </w:pPr>
      <w:r>
        <w:rPr>
          <w:rFonts w:asciiTheme="minorHAnsi" w:eastAsiaTheme="minorHAnsi" w:hAnsiTheme="minorHAnsi" w:cstheme="minorHAnsi"/>
          <w:szCs w:val="22"/>
        </w:rPr>
        <w:t>Linear Investments Limited</w:t>
      </w:r>
      <w:r w:rsidR="005970EE" w:rsidRPr="00816669">
        <w:rPr>
          <w:rFonts w:asciiTheme="minorHAnsi" w:eastAsiaTheme="minorHAnsi" w:hAnsiTheme="minorHAnsi" w:cstheme="minorHAnsi"/>
          <w:szCs w:val="22"/>
        </w:rPr>
        <w:t xml:space="preserve"> (“</w:t>
      </w:r>
      <w:r>
        <w:rPr>
          <w:rFonts w:asciiTheme="minorHAnsi" w:eastAsiaTheme="minorHAnsi" w:hAnsiTheme="minorHAnsi" w:cstheme="minorHAnsi"/>
          <w:szCs w:val="22"/>
        </w:rPr>
        <w:t>Linear</w:t>
      </w:r>
      <w:r w:rsidR="005970EE" w:rsidRPr="00816669">
        <w:rPr>
          <w:rFonts w:asciiTheme="minorHAnsi" w:eastAsiaTheme="minorHAnsi" w:hAnsiTheme="minorHAnsi" w:cstheme="minorHAnsi"/>
          <w:szCs w:val="22"/>
        </w:rPr>
        <w:t>” or “the Firm”) is a Non SNI MIFIDPRU investment firm. The principal activity of the Firm is to</w:t>
      </w:r>
      <w:r w:rsidR="006B3C42">
        <w:rPr>
          <w:rFonts w:asciiTheme="minorHAnsi" w:eastAsiaTheme="minorHAnsi" w:hAnsiTheme="minorHAnsi" w:cstheme="minorHAnsi"/>
          <w:szCs w:val="22"/>
        </w:rPr>
        <w:t xml:space="preserve"> provide Prime Brokerage, custody</w:t>
      </w:r>
      <w:r w:rsidR="00751F3B">
        <w:rPr>
          <w:rFonts w:asciiTheme="minorHAnsi" w:eastAsiaTheme="minorHAnsi" w:hAnsiTheme="minorHAnsi" w:cstheme="minorHAnsi"/>
          <w:szCs w:val="22"/>
        </w:rPr>
        <w:t>, clearing and execution services</w:t>
      </w:r>
      <w:r w:rsidR="005970EE" w:rsidRPr="00816669">
        <w:rPr>
          <w:rFonts w:asciiTheme="minorHAnsi" w:eastAsiaTheme="minorHAnsi" w:hAnsiTheme="minorHAnsi" w:cstheme="minorHAnsi"/>
          <w:szCs w:val="22"/>
        </w:rPr>
        <w:t xml:space="preserve">. </w:t>
      </w:r>
    </w:p>
    <w:p w14:paraId="3BCCBD96" w14:textId="2D42ABC8" w:rsidR="005970EE" w:rsidRPr="00816669" w:rsidRDefault="00751F3B" w:rsidP="005970EE">
      <w:pPr>
        <w:pStyle w:val="BodyText"/>
        <w:spacing w:after="240"/>
        <w:ind w:right="-52"/>
        <w:jc w:val="both"/>
        <w:rPr>
          <w:rFonts w:asciiTheme="minorHAnsi" w:hAnsiTheme="minorHAnsi" w:cstheme="minorHAnsi"/>
          <w:szCs w:val="22"/>
        </w:rPr>
      </w:pPr>
      <w:r>
        <w:rPr>
          <w:rFonts w:asciiTheme="minorHAnsi" w:eastAsiaTheme="minorHAnsi" w:hAnsiTheme="minorHAnsi" w:cstheme="minorHAnsi"/>
          <w:szCs w:val="22"/>
        </w:rPr>
        <w:t>Linear</w:t>
      </w:r>
      <w:r w:rsidR="005970EE" w:rsidRPr="00816669">
        <w:rPr>
          <w:rFonts w:asciiTheme="minorHAnsi" w:eastAsiaTheme="minorHAnsi" w:hAnsiTheme="minorHAnsi" w:cstheme="minorHAnsi"/>
          <w:szCs w:val="22"/>
        </w:rPr>
        <w:t xml:space="preserve"> is authorised and regulated in the UK by the Financial Conduct Authority (“FCA”), with Firm Reference Number </w:t>
      </w:r>
      <w:r>
        <w:rPr>
          <w:rFonts w:asciiTheme="minorHAnsi" w:eastAsiaTheme="minorHAnsi" w:hAnsiTheme="minorHAnsi" w:cstheme="minorHAnsi"/>
          <w:szCs w:val="22"/>
        </w:rPr>
        <w:t>537389</w:t>
      </w:r>
      <w:r w:rsidR="005970EE" w:rsidRPr="00816669">
        <w:rPr>
          <w:rFonts w:asciiTheme="minorHAnsi" w:eastAsiaTheme="minorHAnsi" w:hAnsiTheme="minorHAnsi" w:cstheme="minorHAnsi"/>
          <w:szCs w:val="22"/>
        </w:rPr>
        <w:t>. This document sets out the Investment Firm Prudential Regime (“IFPR”) disclosures for the Firm in accordance with the FCA Prudential Sourcebook for Investment Firms chapter 8 (“MIFIDPRU 8”).</w:t>
      </w:r>
      <w:r w:rsidR="005970EE" w:rsidRPr="00816669">
        <w:rPr>
          <w:rFonts w:asciiTheme="minorHAnsi" w:hAnsiTheme="minorHAnsi" w:cstheme="minorHAnsi"/>
          <w:szCs w:val="22"/>
        </w:rPr>
        <w:t xml:space="preserve"> </w:t>
      </w:r>
    </w:p>
    <w:p w14:paraId="5454502E" w14:textId="77777777" w:rsidR="005970EE" w:rsidRPr="00751F3B" w:rsidRDefault="005970EE" w:rsidP="005970E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8"/>
          <w:szCs w:val="28"/>
        </w:rPr>
      </w:pPr>
      <w:bookmarkStart w:id="0" w:name="_Toc132106002"/>
      <w:r w:rsidRPr="00751F3B">
        <w:rPr>
          <w:rFonts w:asciiTheme="minorHAnsi" w:hAnsiTheme="minorHAnsi" w:cstheme="minorHAnsi"/>
          <w:color w:val="auto"/>
          <w:spacing w:val="-2"/>
          <w:sz w:val="28"/>
          <w:szCs w:val="28"/>
        </w:rPr>
        <w:t>Scope of application</w:t>
      </w:r>
      <w:bookmarkEnd w:id="0"/>
    </w:p>
    <w:p w14:paraId="4194C961" w14:textId="77977F1B" w:rsidR="005970EE" w:rsidRPr="00816669" w:rsidRDefault="00751F3B" w:rsidP="005970EE">
      <w:pPr>
        <w:pStyle w:val="BodyText"/>
        <w:spacing w:after="240"/>
        <w:ind w:right="-52"/>
        <w:jc w:val="both"/>
        <w:rPr>
          <w:rFonts w:asciiTheme="minorHAnsi" w:hAnsiTheme="minorHAnsi" w:cstheme="minorHAnsi"/>
          <w:szCs w:val="22"/>
        </w:rPr>
      </w:pPr>
      <w:r>
        <w:rPr>
          <w:rFonts w:asciiTheme="minorHAnsi" w:hAnsiTheme="minorHAnsi" w:cstheme="minorHAnsi"/>
          <w:szCs w:val="22"/>
        </w:rPr>
        <w:t>Linear</w:t>
      </w:r>
      <w:r w:rsidR="005970EE" w:rsidRPr="00816669">
        <w:rPr>
          <w:rFonts w:asciiTheme="minorHAnsi" w:hAnsiTheme="minorHAnsi" w:cstheme="minorHAnsi"/>
          <w:szCs w:val="22"/>
        </w:rPr>
        <w:t xml:space="preserve">, as the individual MIFIDPRU Investment Firm, meets the level of application as defined in MIFIDPRU 8.1.7. The disclosure for </w:t>
      </w:r>
      <w:r>
        <w:rPr>
          <w:rFonts w:asciiTheme="minorHAnsi" w:hAnsiTheme="minorHAnsi" w:cstheme="minorHAnsi"/>
          <w:szCs w:val="22"/>
        </w:rPr>
        <w:t>Linear</w:t>
      </w:r>
      <w:r w:rsidR="005970EE" w:rsidRPr="00816669">
        <w:rPr>
          <w:rFonts w:asciiTheme="minorHAnsi" w:hAnsiTheme="minorHAnsi" w:cstheme="minorHAnsi"/>
          <w:szCs w:val="22"/>
        </w:rPr>
        <w:t xml:space="preserve"> is prepared on an unconsolidated, solo entity basis.</w:t>
      </w:r>
      <w:bookmarkStart w:id="1" w:name="_bookmark1"/>
      <w:bookmarkEnd w:id="1"/>
      <w:r w:rsidR="005970EE" w:rsidRPr="00816669">
        <w:rPr>
          <w:rFonts w:asciiTheme="minorHAnsi" w:hAnsiTheme="minorHAnsi" w:cstheme="minorHAnsi"/>
          <w:szCs w:val="22"/>
        </w:rPr>
        <w:t xml:space="preserve"> </w:t>
      </w:r>
    </w:p>
    <w:p w14:paraId="03FE71D2" w14:textId="77777777" w:rsidR="005970EE" w:rsidRPr="00751F3B" w:rsidRDefault="005970EE" w:rsidP="005970E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8"/>
          <w:szCs w:val="28"/>
        </w:rPr>
      </w:pPr>
      <w:bookmarkStart w:id="2" w:name="_Toc132106003"/>
      <w:r w:rsidRPr="00751F3B">
        <w:rPr>
          <w:rFonts w:asciiTheme="minorHAnsi" w:hAnsiTheme="minorHAnsi" w:cstheme="minorHAnsi"/>
          <w:color w:val="auto"/>
          <w:spacing w:val="-2"/>
          <w:sz w:val="28"/>
          <w:szCs w:val="28"/>
        </w:rPr>
        <w:t>Disclosure policy</w:t>
      </w:r>
      <w:bookmarkEnd w:id="2"/>
      <w:r w:rsidRPr="00751F3B">
        <w:rPr>
          <w:rFonts w:asciiTheme="minorHAnsi" w:hAnsiTheme="minorHAnsi" w:cstheme="minorHAnsi"/>
          <w:color w:val="auto"/>
          <w:spacing w:val="-2"/>
          <w:sz w:val="28"/>
          <w:szCs w:val="28"/>
        </w:rPr>
        <w:t xml:space="preserve"> and verification </w:t>
      </w:r>
    </w:p>
    <w:p w14:paraId="53614820" w14:textId="49C964BC" w:rsidR="005970EE" w:rsidRPr="00816669" w:rsidRDefault="005970EE" w:rsidP="005970E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prudential disclosures are published annually via</w:t>
      </w:r>
      <w:r w:rsidR="00751F3B">
        <w:rPr>
          <w:rFonts w:asciiTheme="minorHAnsi" w:hAnsiTheme="minorHAnsi" w:cstheme="minorHAnsi"/>
          <w:szCs w:val="22"/>
        </w:rPr>
        <w:t xml:space="preserve"> the </w:t>
      </w:r>
      <w:r w:rsidR="00251F4F">
        <w:rPr>
          <w:rFonts w:asciiTheme="minorHAnsi" w:hAnsiTheme="minorHAnsi" w:cstheme="minorHAnsi"/>
          <w:szCs w:val="22"/>
        </w:rPr>
        <w:t>firm’s</w:t>
      </w:r>
      <w:r w:rsidR="00751F3B">
        <w:rPr>
          <w:rFonts w:asciiTheme="minorHAnsi" w:hAnsiTheme="minorHAnsi" w:cstheme="minorHAnsi"/>
          <w:szCs w:val="22"/>
        </w:rPr>
        <w:t xml:space="preserve"> website</w:t>
      </w:r>
      <w:r w:rsidRPr="00816669">
        <w:rPr>
          <w:rFonts w:asciiTheme="minorHAnsi" w:hAnsiTheme="minorHAnsi" w:cstheme="minorHAnsi"/>
          <w:szCs w:val="22"/>
        </w:rPr>
        <w:t>. The frequency of disclosure will be assessed, should there be a material change in either the nature or scale of the Firm’s activities.</w:t>
      </w:r>
    </w:p>
    <w:p w14:paraId="5618CE5D" w14:textId="3214551B" w:rsidR="005970EE" w:rsidRPr="00816669" w:rsidRDefault="005970EE" w:rsidP="005970E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These IFPR disclosures have been approved by the </w:t>
      </w:r>
      <w:r w:rsidR="00751F3B">
        <w:rPr>
          <w:rFonts w:asciiTheme="minorHAnsi" w:hAnsiTheme="minorHAnsi" w:cstheme="minorHAnsi"/>
          <w:szCs w:val="22"/>
        </w:rPr>
        <w:t xml:space="preserve">board of directors of the firm </w:t>
      </w:r>
      <w:r w:rsidRPr="00816669">
        <w:rPr>
          <w:rFonts w:asciiTheme="minorHAnsi" w:hAnsiTheme="minorHAnsi" w:cstheme="minorHAnsi"/>
          <w:szCs w:val="22"/>
        </w:rPr>
        <w:t>and are not subject to audit, except where they are prepared under accounting requirements for publication in the financial statements.</w:t>
      </w:r>
    </w:p>
    <w:p w14:paraId="73678D5F" w14:textId="66A7763D" w:rsidR="00251F4F" w:rsidRDefault="00251F4F" w:rsidP="00807CEA">
      <w:pPr>
        <w:rPr>
          <w:rFonts w:asciiTheme="minorHAnsi" w:hAnsiTheme="minorHAnsi" w:cstheme="minorHAnsi"/>
          <w:b/>
          <w:bCs/>
          <w:sz w:val="28"/>
          <w:szCs w:val="28"/>
          <w:u w:val="single"/>
        </w:rPr>
      </w:pPr>
    </w:p>
    <w:p w14:paraId="7D68A5DF" w14:textId="77777777" w:rsidR="00251F4F" w:rsidRPr="00816669" w:rsidRDefault="00251F4F" w:rsidP="00251F4F">
      <w:pPr>
        <w:pStyle w:val="Heading1"/>
        <w:numPr>
          <w:ilvl w:val="0"/>
          <w:numId w:val="8"/>
        </w:numPr>
        <w:tabs>
          <w:tab w:val="num" w:pos="1778"/>
        </w:tabs>
        <w:spacing w:before="0" w:after="240"/>
        <w:ind w:left="720" w:hanging="436"/>
        <w:rPr>
          <w:rFonts w:asciiTheme="minorHAnsi" w:hAnsiTheme="minorHAnsi"/>
          <w:b w:val="0"/>
          <w:color w:val="auto"/>
          <w:sz w:val="24"/>
          <w:lang w:val="en-US"/>
        </w:rPr>
      </w:pPr>
      <w:r w:rsidRPr="00816669">
        <w:rPr>
          <w:rFonts w:asciiTheme="minorHAnsi" w:hAnsiTheme="minorHAnsi"/>
          <w:color w:val="auto"/>
          <w:sz w:val="24"/>
          <w:lang w:val="en-US"/>
        </w:rPr>
        <w:t>RISK MANAGEMENT (MIFIDPRU 8.2)</w:t>
      </w:r>
    </w:p>
    <w:p w14:paraId="32B064C2" w14:textId="77777777" w:rsidR="00251F4F" w:rsidRPr="00816669" w:rsidRDefault="00251F4F" w:rsidP="00251F4F">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Risk management overview</w:t>
      </w:r>
    </w:p>
    <w:p w14:paraId="34162CFC" w14:textId="3FD5DE9D" w:rsidR="00251F4F" w:rsidRPr="00816669"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As a MIFIDPRU Investment Firm, </w:t>
      </w:r>
      <w:r w:rsidR="00EA05AE">
        <w:rPr>
          <w:rFonts w:asciiTheme="minorHAnsi" w:hAnsiTheme="minorHAnsi" w:cstheme="minorHAnsi"/>
          <w:szCs w:val="22"/>
        </w:rPr>
        <w:t>Linear</w:t>
      </w:r>
      <w:r w:rsidRPr="00816669">
        <w:rPr>
          <w:rFonts w:asciiTheme="minorHAnsi" w:hAnsiTheme="minorHAnsi" w:cstheme="minorHAnsi"/>
          <w:szCs w:val="22"/>
        </w:rPr>
        <w:t xml:space="preserve"> is required to establish, </w:t>
      </w:r>
      <w:r w:rsidR="00C74A2D" w:rsidRPr="00816669">
        <w:rPr>
          <w:rFonts w:asciiTheme="minorHAnsi" w:hAnsiTheme="minorHAnsi" w:cstheme="minorHAnsi"/>
          <w:szCs w:val="22"/>
        </w:rPr>
        <w:t>implement,</w:t>
      </w:r>
      <w:r w:rsidRPr="00816669">
        <w:rPr>
          <w:rFonts w:asciiTheme="minorHAnsi" w:hAnsiTheme="minorHAnsi" w:cstheme="minorHAnsi"/>
          <w:szCs w:val="22"/>
        </w:rPr>
        <w:t xml:space="preserve"> and maintain adequate risk management policies and procedures which identify the risks relating to the Firm's activities, </w:t>
      </w:r>
      <w:proofErr w:type="gramStart"/>
      <w:r w:rsidRPr="00816669">
        <w:rPr>
          <w:rFonts w:asciiTheme="minorHAnsi" w:hAnsiTheme="minorHAnsi" w:cstheme="minorHAnsi"/>
          <w:szCs w:val="22"/>
        </w:rPr>
        <w:t>processes</w:t>
      </w:r>
      <w:proofErr w:type="gramEnd"/>
      <w:r w:rsidRPr="00816669">
        <w:rPr>
          <w:rFonts w:asciiTheme="minorHAnsi" w:hAnsiTheme="minorHAnsi" w:cstheme="minorHAnsi"/>
          <w:szCs w:val="22"/>
        </w:rPr>
        <w:t xml:space="preserve"> and systems, and then adopt effective arrangements, processes and mechanisms to manage these risks in line with the Firm’s risk appetite. </w:t>
      </w:r>
    </w:p>
    <w:p w14:paraId="51C89677" w14:textId="6933549B" w:rsidR="00251F4F"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Firm’s risk management framework, policies and processes are considered proportionate to the external and internal context in which </w:t>
      </w:r>
      <w:r w:rsidR="00EA05AE">
        <w:rPr>
          <w:rFonts w:asciiTheme="minorHAnsi" w:hAnsiTheme="minorHAnsi" w:cstheme="minorHAnsi"/>
          <w:szCs w:val="22"/>
        </w:rPr>
        <w:t>Linear</w:t>
      </w:r>
      <w:r w:rsidRPr="00816669">
        <w:rPr>
          <w:rFonts w:asciiTheme="minorHAnsi" w:hAnsiTheme="minorHAnsi" w:cstheme="minorHAnsi"/>
          <w:szCs w:val="22"/>
        </w:rPr>
        <w:t xml:space="preserve"> operates and ensures the appropriate and timely involvement of stakeholders</w:t>
      </w:r>
      <w:r w:rsidR="00EA05AE">
        <w:rPr>
          <w:rFonts w:asciiTheme="minorHAnsi" w:hAnsiTheme="minorHAnsi" w:cstheme="minorHAnsi"/>
          <w:szCs w:val="22"/>
        </w:rPr>
        <w:t>.</w:t>
      </w:r>
    </w:p>
    <w:p w14:paraId="7141AA6D" w14:textId="7F341BEB" w:rsidR="001371E7" w:rsidRDefault="001371E7" w:rsidP="00251F4F">
      <w:pPr>
        <w:pStyle w:val="BodyText"/>
        <w:spacing w:after="240"/>
        <w:ind w:right="-52"/>
        <w:jc w:val="both"/>
        <w:rPr>
          <w:rFonts w:asciiTheme="minorHAnsi" w:hAnsiTheme="minorHAnsi" w:cstheme="minorHAnsi"/>
          <w:szCs w:val="22"/>
        </w:rPr>
      </w:pPr>
    </w:p>
    <w:p w14:paraId="0D1FFE2F" w14:textId="1F6715A3" w:rsidR="001371E7" w:rsidRDefault="001371E7" w:rsidP="00251F4F">
      <w:pPr>
        <w:pStyle w:val="BodyText"/>
        <w:spacing w:after="240"/>
        <w:ind w:right="-52"/>
        <w:jc w:val="both"/>
        <w:rPr>
          <w:rFonts w:asciiTheme="minorHAnsi" w:hAnsiTheme="minorHAnsi" w:cstheme="minorHAnsi"/>
          <w:szCs w:val="22"/>
        </w:rPr>
      </w:pPr>
    </w:p>
    <w:p w14:paraId="50B5C968" w14:textId="6D11893B" w:rsidR="001371E7" w:rsidRDefault="001371E7" w:rsidP="00251F4F">
      <w:pPr>
        <w:pStyle w:val="BodyText"/>
        <w:spacing w:after="240"/>
        <w:ind w:right="-52"/>
        <w:jc w:val="both"/>
        <w:rPr>
          <w:rFonts w:asciiTheme="minorHAnsi" w:hAnsiTheme="minorHAnsi" w:cstheme="minorHAnsi"/>
          <w:szCs w:val="22"/>
        </w:rPr>
      </w:pPr>
    </w:p>
    <w:p w14:paraId="54CA8EEC" w14:textId="77777777" w:rsidR="001371E7" w:rsidRDefault="001371E7" w:rsidP="00251F4F">
      <w:pPr>
        <w:pStyle w:val="BodyText"/>
        <w:spacing w:after="240"/>
        <w:ind w:right="-52"/>
        <w:jc w:val="both"/>
        <w:rPr>
          <w:rFonts w:asciiTheme="minorHAnsi" w:hAnsiTheme="minorHAnsi" w:cstheme="minorHAnsi"/>
          <w:szCs w:val="22"/>
        </w:rPr>
      </w:pPr>
    </w:p>
    <w:p w14:paraId="3AECE896" w14:textId="2DA390F2" w:rsidR="001371E7" w:rsidRDefault="001371E7" w:rsidP="00251F4F">
      <w:pPr>
        <w:pStyle w:val="BodyText"/>
        <w:spacing w:after="240"/>
        <w:ind w:right="-52"/>
        <w:jc w:val="both"/>
        <w:rPr>
          <w:rFonts w:asciiTheme="minorHAnsi" w:hAnsiTheme="minorHAnsi" w:cstheme="minorHAnsi"/>
          <w:szCs w:val="22"/>
        </w:rPr>
      </w:pPr>
    </w:p>
    <w:p w14:paraId="76FC4E35" w14:textId="77777777" w:rsidR="001371E7" w:rsidRPr="00816669" w:rsidRDefault="001371E7" w:rsidP="00251F4F">
      <w:pPr>
        <w:pStyle w:val="BodyText"/>
        <w:spacing w:after="240"/>
        <w:ind w:right="-52"/>
        <w:jc w:val="both"/>
        <w:rPr>
          <w:rFonts w:asciiTheme="minorHAnsi" w:hAnsiTheme="minorHAnsi" w:cstheme="minorHAnsi"/>
          <w:szCs w:val="22"/>
        </w:rPr>
      </w:pPr>
    </w:p>
    <w:p w14:paraId="3200B63C" w14:textId="408D64F6" w:rsidR="00251F4F" w:rsidRPr="001371E7" w:rsidRDefault="00251F4F" w:rsidP="001371E7">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Risk appetite</w:t>
      </w:r>
    </w:p>
    <w:p w14:paraId="36E65AA0" w14:textId="65FF9C73" w:rsidR="00251F4F" w:rsidRPr="00816669"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As a regulated business</w:t>
      </w:r>
      <w:r w:rsidR="001371E7">
        <w:rPr>
          <w:rFonts w:asciiTheme="minorHAnsi" w:hAnsiTheme="minorHAnsi" w:cstheme="minorHAnsi"/>
          <w:szCs w:val="22"/>
        </w:rPr>
        <w:t>,</w:t>
      </w:r>
      <w:r w:rsidRPr="00816669">
        <w:rPr>
          <w:rFonts w:asciiTheme="minorHAnsi" w:hAnsiTheme="minorHAnsi" w:cstheme="minorHAnsi"/>
          <w:szCs w:val="22"/>
        </w:rPr>
        <w:t xml:space="preserve"> </w:t>
      </w:r>
      <w:r w:rsidR="001371E7">
        <w:rPr>
          <w:rFonts w:asciiTheme="minorHAnsi" w:hAnsiTheme="minorHAnsi" w:cstheme="minorHAnsi"/>
          <w:szCs w:val="22"/>
        </w:rPr>
        <w:t>Linear</w:t>
      </w:r>
      <w:r w:rsidRPr="00816669">
        <w:rPr>
          <w:rFonts w:asciiTheme="minorHAnsi" w:hAnsiTheme="minorHAnsi" w:cstheme="minorHAnsi"/>
          <w:szCs w:val="22"/>
        </w:rPr>
        <w:t xml:space="preserve"> is averse to any risks that threaten the Firm’s ability to meet legal and regulatory obligations and a cautious appetite to financial risks. The Firm retains a cautious risk appetite </w:t>
      </w:r>
      <w:proofErr w:type="gramStart"/>
      <w:r w:rsidRPr="00816669">
        <w:rPr>
          <w:rFonts w:asciiTheme="minorHAnsi" w:hAnsiTheme="minorHAnsi" w:cstheme="minorHAnsi"/>
          <w:szCs w:val="22"/>
        </w:rPr>
        <w:t>with regard to</w:t>
      </w:r>
      <w:proofErr w:type="gramEnd"/>
      <w:r w:rsidRPr="00816669">
        <w:rPr>
          <w:rFonts w:asciiTheme="minorHAnsi" w:hAnsiTheme="minorHAnsi" w:cstheme="minorHAnsi"/>
          <w:szCs w:val="22"/>
        </w:rPr>
        <w:t xml:space="preserve"> reputational risks, relying on reputation in order to influence and secure the engagement and support of clients, regulators and other stakeholders. </w:t>
      </w:r>
      <w:r w:rsidR="003D680A">
        <w:rPr>
          <w:rFonts w:asciiTheme="minorHAnsi" w:hAnsiTheme="minorHAnsi" w:cstheme="minorHAnsi"/>
          <w:szCs w:val="22"/>
        </w:rPr>
        <w:t>Linear</w:t>
      </w:r>
      <w:r w:rsidRPr="00816669">
        <w:rPr>
          <w:rFonts w:asciiTheme="minorHAnsi" w:hAnsiTheme="minorHAnsi" w:cstheme="minorHAnsi"/>
          <w:szCs w:val="22"/>
        </w:rPr>
        <w:t xml:space="preserve"> has a cautious risk appetite towards sustaining appropriate operational processes, </w:t>
      </w:r>
      <w:proofErr w:type="gramStart"/>
      <w:r w:rsidRPr="00816669">
        <w:rPr>
          <w:rFonts w:asciiTheme="minorHAnsi" w:hAnsiTheme="minorHAnsi" w:cstheme="minorHAnsi"/>
          <w:szCs w:val="22"/>
        </w:rPr>
        <w:t>systems</w:t>
      </w:r>
      <w:proofErr w:type="gramEnd"/>
      <w:r w:rsidRPr="00816669">
        <w:rPr>
          <w:rFonts w:asciiTheme="minorHAnsi" w:hAnsiTheme="minorHAnsi" w:cstheme="minorHAnsi"/>
          <w:szCs w:val="22"/>
        </w:rPr>
        <w:t xml:space="preserve"> and controls to support delivery. The Firm has a cautious appetite towards ensuring that the business is protected from organisational or management failures. </w:t>
      </w:r>
    </w:p>
    <w:p w14:paraId="3E2F8E22" w14:textId="77777777" w:rsidR="00251F4F" w:rsidRPr="00816669" w:rsidRDefault="00251F4F" w:rsidP="00251F4F">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Risk assessment</w:t>
      </w:r>
    </w:p>
    <w:p w14:paraId="416C784E" w14:textId="05115D1C" w:rsidR="00251F4F" w:rsidRPr="00816669"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risk assessment generally supports the Firm in understanding the potential harm that can be caused to clients, </w:t>
      </w:r>
      <w:proofErr w:type="gramStart"/>
      <w:r w:rsidRPr="00816669">
        <w:rPr>
          <w:rFonts w:asciiTheme="minorHAnsi" w:hAnsiTheme="minorHAnsi" w:cstheme="minorHAnsi"/>
          <w:szCs w:val="22"/>
        </w:rPr>
        <w:t>markets</w:t>
      </w:r>
      <w:proofErr w:type="gramEnd"/>
      <w:r w:rsidRPr="00816669">
        <w:rPr>
          <w:rFonts w:asciiTheme="minorHAnsi" w:hAnsiTheme="minorHAnsi" w:cstheme="minorHAnsi"/>
          <w:szCs w:val="22"/>
        </w:rPr>
        <w:t xml:space="preserve"> or the firm itself as a result of its business activities. Also, as part of the risk assessment, the Firm has considered its position in the context of its external environment and has assessed more generally those areas that represent a potential significant threat to which the Firm may be vulnerable. </w:t>
      </w:r>
    </w:p>
    <w:p w14:paraId="79502CE3" w14:textId="77777777" w:rsidR="00251F4F" w:rsidRPr="00816669" w:rsidRDefault="00251F4F" w:rsidP="00251F4F">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Adequacy of risk management arrangements</w:t>
      </w:r>
    </w:p>
    <w:p w14:paraId="13D6F787" w14:textId="68577EE4" w:rsidR="00251F4F" w:rsidRDefault="00251F4F" w:rsidP="00251F4F">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As at the reporting date, the Board considered that it had in place adequate and appropriate systems and controls with regard to the Firm‘s strategy and that </w:t>
      </w:r>
      <w:r w:rsidR="003D680A">
        <w:rPr>
          <w:rFonts w:asciiTheme="minorHAnsi" w:hAnsiTheme="minorHAnsi" w:cstheme="minorHAnsi"/>
          <w:szCs w:val="22"/>
        </w:rPr>
        <w:t>Linear</w:t>
      </w:r>
      <w:r w:rsidRPr="00816669">
        <w:rPr>
          <w:rFonts w:asciiTheme="minorHAnsi" w:hAnsiTheme="minorHAnsi" w:cstheme="minorHAnsi"/>
          <w:szCs w:val="22"/>
        </w:rPr>
        <w:t xml:space="preserve"> is properly resourced and skilled to avoid or minimise loss.</w:t>
      </w:r>
    </w:p>
    <w:p w14:paraId="02281322" w14:textId="77777777" w:rsidR="000C04AE" w:rsidRPr="00816669" w:rsidRDefault="000C04AE" w:rsidP="000C04AE">
      <w:pPr>
        <w:pStyle w:val="Heading1"/>
        <w:numPr>
          <w:ilvl w:val="0"/>
          <w:numId w:val="8"/>
        </w:numPr>
        <w:tabs>
          <w:tab w:val="num" w:pos="1778"/>
        </w:tabs>
        <w:spacing w:before="0" w:after="240"/>
        <w:ind w:left="720" w:hanging="436"/>
        <w:rPr>
          <w:rFonts w:asciiTheme="minorHAnsi" w:hAnsiTheme="minorHAnsi"/>
          <w:b w:val="0"/>
          <w:color w:val="auto"/>
          <w:sz w:val="24"/>
          <w:lang w:val="en-US"/>
        </w:rPr>
      </w:pPr>
      <w:r w:rsidRPr="00816669">
        <w:rPr>
          <w:rFonts w:asciiTheme="minorHAnsi" w:hAnsiTheme="minorHAnsi"/>
          <w:color w:val="auto"/>
          <w:sz w:val="24"/>
          <w:lang w:val="en-US"/>
        </w:rPr>
        <w:t>GOVERNANCE ARRANGEMENTS (MIFIDPRU 8.3)</w:t>
      </w:r>
    </w:p>
    <w:p w14:paraId="5672BD9E" w14:textId="77777777" w:rsidR="000C04AE" w:rsidRPr="00816669" w:rsidRDefault="000C04AE" w:rsidP="000C04A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bookmarkStart w:id="3" w:name="_Toc132106008"/>
      <w:r w:rsidRPr="00816669">
        <w:rPr>
          <w:rFonts w:asciiTheme="minorHAnsi" w:hAnsiTheme="minorHAnsi" w:cstheme="minorHAnsi"/>
          <w:color w:val="auto"/>
          <w:spacing w:val="-2"/>
          <w:sz w:val="22"/>
          <w:szCs w:val="22"/>
        </w:rPr>
        <w:t>Board</w:t>
      </w:r>
      <w:bookmarkEnd w:id="3"/>
      <w:r w:rsidRPr="00816669">
        <w:rPr>
          <w:rFonts w:asciiTheme="minorHAnsi" w:hAnsiTheme="minorHAnsi" w:cstheme="minorHAnsi"/>
          <w:color w:val="auto"/>
          <w:spacing w:val="-2"/>
          <w:sz w:val="22"/>
          <w:szCs w:val="22"/>
        </w:rPr>
        <w:t xml:space="preserve"> roles and responsibilities</w:t>
      </w:r>
    </w:p>
    <w:p w14:paraId="0AE12E12" w14:textId="09853791" w:rsidR="000C04AE" w:rsidRPr="00816669"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Board is the governing body of the Firm and is responsible for providing oversight and management of the Firm. The Board also has overall responsibility for the Firm’s risk strategies and policies and for setting the tone and influence of culture and conduct within the Firm. The Board regularly considers the risks that the firm faces and makes recommendations as necessary in order to enable the Firm to mitigate risks. The Board is accountable for the implementation of governance arrangements that ensure effective and prudent management of the firm, including the segregation of duties in the organisation and the prevention of conflicts of interest, and in a manner that promotes the integrity of the market and the interests of clients.</w:t>
      </w:r>
    </w:p>
    <w:p w14:paraId="7BB12095" w14:textId="77777777" w:rsidR="000C04AE" w:rsidRPr="00816669" w:rsidRDefault="000C04AE" w:rsidP="000C04A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Members’ Outside Interests</w:t>
      </w:r>
    </w:p>
    <w:p w14:paraId="553BEF3C" w14:textId="77777777" w:rsidR="000C04AE" w:rsidRPr="00816669"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Board members have the following number of directorships outside of the Firm:</w:t>
      </w:r>
    </w:p>
    <w:tbl>
      <w:tblPr>
        <w:tblStyle w:val="TableGrid"/>
        <w:tblW w:w="9072" w:type="dxa"/>
        <w:tblInd w:w="-5" w:type="dxa"/>
        <w:tblLook w:val="04A0" w:firstRow="1" w:lastRow="0" w:firstColumn="1" w:lastColumn="0" w:noHBand="0" w:noVBand="1"/>
      </w:tblPr>
      <w:tblGrid>
        <w:gridCol w:w="3024"/>
        <w:gridCol w:w="3024"/>
        <w:gridCol w:w="3024"/>
      </w:tblGrid>
      <w:tr w:rsidR="000C04AE" w:rsidRPr="00816669" w14:paraId="434DD5F2" w14:textId="77777777" w:rsidTr="004A2FEE">
        <w:tc>
          <w:tcPr>
            <w:tcW w:w="3024" w:type="dxa"/>
            <w:tcBorders>
              <w:bottom w:val="single" w:sz="4" w:space="0" w:color="auto"/>
            </w:tcBorders>
            <w:shd w:val="clear" w:color="auto" w:fill="000000" w:themeFill="text1"/>
          </w:tcPr>
          <w:p w14:paraId="7755BB6B" w14:textId="77777777" w:rsidR="000C04AE" w:rsidRPr="002D1EDA" w:rsidRDefault="000C04AE" w:rsidP="004A2FEE">
            <w:pPr>
              <w:pStyle w:val="BodyText"/>
              <w:ind w:right="-51"/>
              <w:jc w:val="both"/>
              <w:rPr>
                <w:rFonts w:asciiTheme="minorHAnsi" w:hAnsiTheme="minorHAnsi" w:cstheme="minorHAnsi"/>
                <w:b/>
                <w:bCs/>
                <w:color w:val="FFFFFF" w:themeColor="background1"/>
                <w:szCs w:val="22"/>
              </w:rPr>
            </w:pPr>
            <w:r w:rsidRPr="002D1EDA">
              <w:rPr>
                <w:rFonts w:asciiTheme="minorHAnsi" w:hAnsiTheme="minorHAnsi" w:cstheme="minorHAnsi"/>
                <w:b/>
                <w:bCs/>
                <w:color w:val="FFFFFF" w:themeColor="background1"/>
                <w:szCs w:val="22"/>
              </w:rPr>
              <w:t>Name</w:t>
            </w:r>
          </w:p>
        </w:tc>
        <w:tc>
          <w:tcPr>
            <w:tcW w:w="3024" w:type="dxa"/>
            <w:tcBorders>
              <w:bottom w:val="single" w:sz="4" w:space="0" w:color="auto"/>
            </w:tcBorders>
            <w:shd w:val="clear" w:color="auto" w:fill="000000" w:themeFill="text1"/>
          </w:tcPr>
          <w:p w14:paraId="2F03E3EB" w14:textId="77777777" w:rsidR="000C04AE" w:rsidRPr="002D1EDA" w:rsidRDefault="000C04AE" w:rsidP="004A2FEE">
            <w:pPr>
              <w:pStyle w:val="BodyText"/>
              <w:ind w:right="-51"/>
              <w:jc w:val="both"/>
              <w:rPr>
                <w:rFonts w:asciiTheme="minorHAnsi" w:hAnsiTheme="minorHAnsi" w:cstheme="minorHAnsi"/>
                <w:b/>
                <w:bCs/>
                <w:color w:val="FFFFFF" w:themeColor="background1"/>
                <w:szCs w:val="22"/>
              </w:rPr>
            </w:pPr>
            <w:r w:rsidRPr="002D1EDA">
              <w:rPr>
                <w:rFonts w:asciiTheme="minorHAnsi" w:hAnsiTheme="minorHAnsi" w:cstheme="minorHAnsi"/>
                <w:b/>
                <w:bCs/>
                <w:color w:val="FFFFFF" w:themeColor="background1"/>
                <w:szCs w:val="22"/>
              </w:rPr>
              <w:t>Position</w:t>
            </w:r>
          </w:p>
        </w:tc>
        <w:tc>
          <w:tcPr>
            <w:tcW w:w="3024" w:type="dxa"/>
            <w:tcBorders>
              <w:bottom w:val="single" w:sz="4" w:space="0" w:color="auto"/>
            </w:tcBorders>
            <w:shd w:val="clear" w:color="auto" w:fill="000000" w:themeFill="text1"/>
          </w:tcPr>
          <w:p w14:paraId="434B8583" w14:textId="77777777" w:rsidR="000C04AE" w:rsidRPr="002D1EDA" w:rsidRDefault="000C04AE" w:rsidP="004A2FEE">
            <w:pPr>
              <w:pStyle w:val="BodyText"/>
              <w:ind w:left="660" w:right="-51" w:hanging="660"/>
              <w:jc w:val="both"/>
              <w:rPr>
                <w:rFonts w:asciiTheme="minorHAnsi" w:hAnsiTheme="minorHAnsi" w:cstheme="minorHAnsi"/>
                <w:b/>
                <w:bCs/>
                <w:color w:val="FFFFFF" w:themeColor="background1"/>
                <w:szCs w:val="22"/>
              </w:rPr>
            </w:pPr>
            <w:r w:rsidRPr="002D1EDA">
              <w:rPr>
                <w:rFonts w:asciiTheme="minorHAnsi" w:hAnsiTheme="minorHAnsi" w:cstheme="minorHAnsi"/>
                <w:b/>
                <w:bCs/>
                <w:color w:val="FFFFFF" w:themeColor="background1"/>
                <w:szCs w:val="22"/>
              </w:rPr>
              <w:t>No.</w:t>
            </w:r>
          </w:p>
        </w:tc>
      </w:tr>
      <w:tr w:rsidR="000C04AE" w:rsidRPr="00816669" w14:paraId="3EA34E71" w14:textId="77777777" w:rsidTr="004A2FEE">
        <w:trPr>
          <w:trHeight w:val="454"/>
        </w:trPr>
        <w:tc>
          <w:tcPr>
            <w:tcW w:w="3024" w:type="dxa"/>
            <w:tcBorders>
              <w:bottom w:val="single" w:sz="4" w:space="0" w:color="auto"/>
            </w:tcBorders>
          </w:tcPr>
          <w:p w14:paraId="1C157936" w14:textId="2DF07C0C" w:rsidR="000C04AE" w:rsidRPr="00816669" w:rsidRDefault="00BC0EE9" w:rsidP="004A2FEE">
            <w:pPr>
              <w:pStyle w:val="BodyText"/>
              <w:ind w:right="-51"/>
              <w:jc w:val="both"/>
              <w:rPr>
                <w:rFonts w:asciiTheme="minorHAnsi" w:hAnsiTheme="minorHAnsi" w:cstheme="minorHAnsi"/>
                <w:szCs w:val="22"/>
              </w:rPr>
            </w:pPr>
            <w:r>
              <w:rPr>
                <w:rFonts w:asciiTheme="minorHAnsi" w:hAnsiTheme="minorHAnsi" w:cstheme="minorHAnsi"/>
                <w:szCs w:val="22"/>
              </w:rPr>
              <w:t>Paul Kelly</w:t>
            </w:r>
          </w:p>
        </w:tc>
        <w:tc>
          <w:tcPr>
            <w:tcW w:w="3024" w:type="dxa"/>
            <w:tcBorders>
              <w:bottom w:val="single" w:sz="4" w:space="0" w:color="auto"/>
            </w:tcBorders>
          </w:tcPr>
          <w:p w14:paraId="7ED7CD5A" w14:textId="77777777" w:rsidR="000C04AE" w:rsidRPr="00816669" w:rsidRDefault="000C04AE" w:rsidP="004A2FEE">
            <w:pPr>
              <w:pStyle w:val="BodyText"/>
              <w:ind w:right="-51"/>
              <w:jc w:val="both"/>
              <w:rPr>
                <w:rFonts w:asciiTheme="minorHAnsi" w:hAnsiTheme="minorHAnsi" w:cstheme="minorHAnsi"/>
                <w:szCs w:val="22"/>
              </w:rPr>
            </w:pPr>
            <w:r w:rsidRPr="00816669">
              <w:rPr>
                <w:rFonts w:asciiTheme="minorHAnsi" w:hAnsiTheme="minorHAnsi" w:cstheme="minorHAnsi"/>
                <w:szCs w:val="22"/>
              </w:rPr>
              <w:t>Executive Director</w:t>
            </w:r>
          </w:p>
        </w:tc>
        <w:tc>
          <w:tcPr>
            <w:tcW w:w="3024" w:type="dxa"/>
            <w:tcBorders>
              <w:bottom w:val="single" w:sz="4" w:space="0" w:color="auto"/>
            </w:tcBorders>
          </w:tcPr>
          <w:p w14:paraId="37EDF380" w14:textId="2455FBF6" w:rsidR="000C04AE" w:rsidRPr="00816669" w:rsidRDefault="00BC0EE9" w:rsidP="004A2FEE">
            <w:pPr>
              <w:pStyle w:val="BodyText"/>
              <w:ind w:right="-51"/>
              <w:jc w:val="both"/>
              <w:rPr>
                <w:rFonts w:asciiTheme="minorHAnsi" w:hAnsiTheme="minorHAnsi" w:cstheme="minorHAnsi"/>
                <w:szCs w:val="22"/>
              </w:rPr>
            </w:pPr>
            <w:r>
              <w:rPr>
                <w:rFonts w:asciiTheme="minorHAnsi" w:hAnsiTheme="minorHAnsi" w:cstheme="minorHAnsi"/>
                <w:szCs w:val="22"/>
              </w:rPr>
              <w:t>7</w:t>
            </w:r>
          </w:p>
        </w:tc>
      </w:tr>
    </w:tbl>
    <w:p w14:paraId="3906E0B0" w14:textId="77777777" w:rsidR="006F5E66" w:rsidRDefault="006F5E66" w:rsidP="006F5E66">
      <w:pPr>
        <w:pStyle w:val="Heading2"/>
        <w:spacing w:before="240" w:after="240"/>
        <w:ind w:left="360" w:right="-51"/>
        <w:rPr>
          <w:rFonts w:asciiTheme="minorHAnsi" w:hAnsiTheme="minorHAnsi" w:cstheme="minorHAnsi"/>
          <w:color w:val="auto"/>
          <w:spacing w:val="-2"/>
          <w:sz w:val="22"/>
          <w:szCs w:val="22"/>
        </w:rPr>
      </w:pPr>
    </w:p>
    <w:p w14:paraId="459A8DF9" w14:textId="77777777" w:rsidR="006F5E66" w:rsidRDefault="006F5E66" w:rsidP="006F5E66">
      <w:pPr>
        <w:pStyle w:val="Heading2"/>
        <w:spacing w:before="240" w:after="240"/>
        <w:ind w:left="360" w:right="-51"/>
        <w:rPr>
          <w:rFonts w:asciiTheme="minorHAnsi" w:hAnsiTheme="minorHAnsi" w:cstheme="minorHAnsi"/>
          <w:color w:val="auto"/>
          <w:spacing w:val="-2"/>
          <w:sz w:val="22"/>
          <w:szCs w:val="22"/>
        </w:rPr>
      </w:pPr>
    </w:p>
    <w:p w14:paraId="682729BE" w14:textId="749089CE" w:rsidR="000C04AE" w:rsidRPr="006F5E66" w:rsidRDefault="000C04AE" w:rsidP="006F5E66">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6F5E66">
        <w:rPr>
          <w:rFonts w:asciiTheme="minorHAnsi" w:hAnsiTheme="minorHAnsi" w:cstheme="minorHAnsi"/>
          <w:color w:val="auto"/>
          <w:spacing w:val="-2"/>
          <w:sz w:val="22"/>
          <w:szCs w:val="22"/>
        </w:rPr>
        <w:t>Risk, remuneration and nominations</w:t>
      </w:r>
    </w:p>
    <w:p w14:paraId="417955C2" w14:textId="646B1E72" w:rsidR="000C04AE" w:rsidRPr="00816669"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 qualifies under MIFIDPRU 7.1.4R for exemption from the requirement to have a Risk, remuneration and nomination committees as defined in MIFIDPRU 7.3. </w:t>
      </w:r>
      <w:r w:rsidR="006F5E66">
        <w:rPr>
          <w:rFonts w:asciiTheme="minorHAnsi" w:hAnsiTheme="minorHAnsi" w:cstheme="minorHAnsi"/>
          <w:szCs w:val="22"/>
        </w:rPr>
        <w:t>Linear</w:t>
      </w:r>
      <w:r w:rsidRPr="00816669">
        <w:rPr>
          <w:rFonts w:asciiTheme="minorHAnsi" w:hAnsiTheme="minorHAnsi" w:cstheme="minorHAnsi"/>
          <w:szCs w:val="22"/>
        </w:rPr>
        <w:t xml:space="preserve"> is not required to meet the provisions under SYSC 19G (MIFIDPRU Remuneration Code) which are not listed in SYSC 19G.1.6R(2). The Board will consider any potential nominations of Directors or Senior Managers.</w:t>
      </w:r>
    </w:p>
    <w:p w14:paraId="66DBD75B" w14:textId="77777777" w:rsidR="000C04AE" w:rsidRPr="00816669" w:rsidRDefault="000C04AE" w:rsidP="000C04AE">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Diversity</w:t>
      </w:r>
    </w:p>
    <w:p w14:paraId="1AE19CC5" w14:textId="23B8661B" w:rsidR="000C04AE" w:rsidRDefault="000C04AE" w:rsidP="000C04AE">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 recognises the benefits of a diverse workforce and management team in terms of innovation, creativity and decision making. The Board considers diversity in its assessment of potential </w:t>
      </w:r>
      <w:r w:rsidR="00384814" w:rsidRPr="00816669">
        <w:rPr>
          <w:rFonts w:asciiTheme="minorHAnsi" w:hAnsiTheme="minorHAnsi" w:cstheme="minorHAnsi"/>
          <w:szCs w:val="22"/>
        </w:rPr>
        <w:t>appointments</w:t>
      </w:r>
      <w:r w:rsidRPr="00816669">
        <w:rPr>
          <w:rFonts w:asciiTheme="minorHAnsi" w:hAnsiTheme="minorHAnsi" w:cstheme="minorHAnsi"/>
          <w:szCs w:val="22"/>
        </w:rPr>
        <w:t xml:space="preserve">, including those to the Board.  </w:t>
      </w:r>
    </w:p>
    <w:p w14:paraId="36103605" w14:textId="77777777" w:rsidR="00384814" w:rsidRPr="00C85341" w:rsidRDefault="00384814" w:rsidP="00384814">
      <w:pPr>
        <w:pStyle w:val="Heading1"/>
        <w:numPr>
          <w:ilvl w:val="0"/>
          <w:numId w:val="8"/>
        </w:numPr>
        <w:tabs>
          <w:tab w:val="num" w:pos="1778"/>
        </w:tabs>
        <w:spacing w:before="0" w:after="240"/>
        <w:ind w:left="720" w:hanging="436"/>
        <w:rPr>
          <w:rFonts w:asciiTheme="minorHAnsi" w:hAnsiTheme="minorHAnsi"/>
          <w:b w:val="0"/>
          <w:color w:val="auto"/>
          <w:sz w:val="24"/>
          <w:lang w:val="en-US"/>
        </w:rPr>
      </w:pPr>
      <w:r w:rsidRPr="00C85341">
        <w:rPr>
          <w:rFonts w:asciiTheme="minorHAnsi" w:hAnsiTheme="minorHAnsi"/>
          <w:color w:val="auto"/>
          <w:sz w:val="24"/>
          <w:lang w:val="en-US"/>
        </w:rPr>
        <w:t>OWN FUNDS (MIFIDPRU 8.4)</w:t>
      </w:r>
    </w:p>
    <w:p w14:paraId="26F52BF8" w14:textId="760CD956" w:rsidR="00384814" w:rsidRDefault="00384814" w:rsidP="00384814">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Firm is required to maintain sufficient capital resources at all times. The table below shows the Tier 1 capital, specifically Common Equity Tier 1 (CET1) capital held by the Firm.  The Tier 1 capital correlates directly with externally verified and audited balance sheet totals. The Firm does not hold any Additional Tier 1 or Tier 2 capital.</w:t>
      </w:r>
    </w:p>
    <w:p w14:paraId="65FAA111" w14:textId="5B01E782" w:rsidR="005A7D7A" w:rsidRDefault="005A7D7A" w:rsidP="00384814">
      <w:pPr>
        <w:pStyle w:val="BodyText"/>
        <w:spacing w:after="240"/>
        <w:ind w:right="-52"/>
        <w:jc w:val="both"/>
        <w:rPr>
          <w:rFonts w:asciiTheme="minorHAnsi" w:hAnsiTheme="minorHAnsi" w:cstheme="minorHAnsi"/>
          <w:szCs w:val="22"/>
        </w:rPr>
      </w:pPr>
    </w:p>
    <w:p w14:paraId="731B5A5D" w14:textId="7B669073" w:rsidR="005A7D7A" w:rsidRDefault="005A7D7A" w:rsidP="00384814">
      <w:pPr>
        <w:pStyle w:val="BodyText"/>
        <w:spacing w:after="240"/>
        <w:ind w:right="-52"/>
        <w:jc w:val="both"/>
        <w:rPr>
          <w:rFonts w:asciiTheme="minorHAnsi" w:hAnsiTheme="minorHAnsi" w:cstheme="minorHAnsi"/>
          <w:szCs w:val="22"/>
        </w:rPr>
      </w:pPr>
    </w:p>
    <w:p w14:paraId="28C096EC" w14:textId="7F6A9B0C" w:rsidR="005A7D7A" w:rsidRDefault="005A7D7A" w:rsidP="00384814">
      <w:pPr>
        <w:pStyle w:val="BodyText"/>
        <w:spacing w:after="240"/>
        <w:ind w:right="-52"/>
        <w:jc w:val="both"/>
        <w:rPr>
          <w:rFonts w:asciiTheme="minorHAnsi" w:hAnsiTheme="minorHAnsi" w:cstheme="minorHAnsi"/>
          <w:szCs w:val="22"/>
        </w:rPr>
      </w:pPr>
    </w:p>
    <w:p w14:paraId="37CB07DB" w14:textId="02F93700" w:rsidR="005A7D7A" w:rsidRDefault="005A7D7A" w:rsidP="00384814">
      <w:pPr>
        <w:pStyle w:val="BodyText"/>
        <w:spacing w:after="240"/>
        <w:ind w:right="-52"/>
        <w:jc w:val="both"/>
        <w:rPr>
          <w:rFonts w:asciiTheme="minorHAnsi" w:hAnsiTheme="minorHAnsi" w:cstheme="minorHAnsi"/>
          <w:szCs w:val="22"/>
        </w:rPr>
      </w:pPr>
    </w:p>
    <w:p w14:paraId="2DBFB7B2" w14:textId="2EF6E017" w:rsidR="005A7D7A" w:rsidRDefault="005A7D7A" w:rsidP="00384814">
      <w:pPr>
        <w:pStyle w:val="BodyText"/>
        <w:spacing w:after="240"/>
        <w:ind w:right="-52"/>
        <w:jc w:val="both"/>
        <w:rPr>
          <w:rFonts w:asciiTheme="minorHAnsi" w:hAnsiTheme="minorHAnsi" w:cstheme="minorHAnsi"/>
          <w:szCs w:val="22"/>
        </w:rPr>
      </w:pPr>
    </w:p>
    <w:p w14:paraId="4FFF9437" w14:textId="1AE5F539" w:rsidR="005A7D7A" w:rsidRDefault="005A7D7A" w:rsidP="00384814">
      <w:pPr>
        <w:pStyle w:val="BodyText"/>
        <w:spacing w:after="240"/>
        <w:ind w:right="-52"/>
        <w:jc w:val="both"/>
        <w:rPr>
          <w:rFonts w:asciiTheme="minorHAnsi" w:hAnsiTheme="minorHAnsi" w:cstheme="minorHAnsi"/>
          <w:szCs w:val="22"/>
        </w:rPr>
      </w:pPr>
    </w:p>
    <w:p w14:paraId="02FD4D20" w14:textId="4A8467B1" w:rsidR="005A7D7A" w:rsidRDefault="005A7D7A" w:rsidP="00384814">
      <w:pPr>
        <w:pStyle w:val="BodyText"/>
        <w:spacing w:after="240"/>
        <w:ind w:right="-52"/>
        <w:jc w:val="both"/>
        <w:rPr>
          <w:rFonts w:asciiTheme="minorHAnsi" w:hAnsiTheme="minorHAnsi" w:cstheme="minorHAnsi"/>
          <w:szCs w:val="22"/>
        </w:rPr>
      </w:pPr>
    </w:p>
    <w:p w14:paraId="548ACB71" w14:textId="6BAB8C3C" w:rsidR="005A7D7A" w:rsidRDefault="005A7D7A" w:rsidP="00384814">
      <w:pPr>
        <w:pStyle w:val="BodyText"/>
        <w:spacing w:after="240"/>
        <w:ind w:right="-52"/>
        <w:jc w:val="both"/>
        <w:rPr>
          <w:rFonts w:asciiTheme="minorHAnsi" w:hAnsiTheme="minorHAnsi" w:cstheme="minorHAnsi"/>
          <w:szCs w:val="22"/>
        </w:rPr>
      </w:pPr>
    </w:p>
    <w:p w14:paraId="2F2FC000" w14:textId="55E5908C" w:rsidR="005A7D7A" w:rsidRDefault="005A7D7A" w:rsidP="00384814">
      <w:pPr>
        <w:pStyle w:val="BodyText"/>
        <w:spacing w:after="240"/>
        <w:ind w:right="-52"/>
        <w:jc w:val="both"/>
        <w:rPr>
          <w:rFonts w:asciiTheme="minorHAnsi" w:hAnsiTheme="minorHAnsi" w:cstheme="minorHAnsi"/>
          <w:szCs w:val="22"/>
        </w:rPr>
      </w:pPr>
    </w:p>
    <w:p w14:paraId="62E72ED0" w14:textId="59FBC73D" w:rsidR="005A7D7A" w:rsidRDefault="005A7D7A" w:rsidP="00384814">
      <w:pPr>
        <w:pStyle w:val="BodyText"/>
        <w:spacing w:after="240"/>
        <w:ind w:right="-52"/>
        <w:jc w:val="both"/>
        <w:rPr>
          <w:rFonts w:asciiTheme="minorHAnsi" w:hAnsiTheme="minorHAnsi" w:cstheme="minorHAnsi"/>
          <w:szCs w:val="22"/>
        </w:rPr>
      </w:pPr>
    </w:p>
    <w:p w14:paraId="2B175BA8" w14:textId="3A241678" w:rsidR="005A7D7A" w:rsidRDefault="005A7D7A" w:rsidP="00384814">
      <w:pPr>
        <w:pStyle w:val="BodyText"/>
        <w:spacing w:after="240"/>
        <w:ind w:right="-52"/>
        <w:jc w:val="both"/>
        <w:rPr>
          <w:rFonts w:asciiTheme="minorHAnsi" w:hAnsiTheme="minorHAnsi" w:cstheme="minorHAnsi"/>
          <w:szCs w:val="22"/>
        </w:rPr>
      </w:pPr>
    </w:p>
    <w:p w14:paraId="157EDCA7" w14:textId="3EE3AB17" w:rsidR="005A7D7A" w:rsidRDefault="005A7D7A" w:rsidP="00384814">
      <w:pPr>
        <w:pStyle w:val="BodyText"/>
        <w:spacing w:after="240"/>
        <w:ind w:right="-52"/>
        <w:jc w:val="both"/>
        <w:rPr>
          <w:rFonts w:asciiTheme="minorHAnsi" w:hAnsiTheme="minorHAnsi" w:cstheme="minorHAnsi"/>
          <w:szCs w:val="22"/>
        </w:rPr>
      </w:pPr>
    </w:p>
    <w:p w14:paraId="3F276294" w14:textId="64FD9DB5" w:rsidR="005A7D7A" w:rsidRDefault="005A7D7A" w:rsidP="00384814">
      <w:pPr>
        <w:pStyle w:val="BodyText"/>
        <w:spacing w:after="240"/>
        <w:ind w:right="-52"/>
        <w:jc w:val="both"/>
        <w:rPr>
          <w:rFonts w:asciiTheme="minorHAnsi" w:hAnsiTheme="minorHAnsi" w:cstheme="minorHAnsi"/>
          <w:szCs w:val="22"/>
        </w:rPr>
      </w:pPr>
    </w:p>
    <w:p w14:paraId="70980FB4" w14:textId="149F5C43" w:rsidR="005A7D7A" w:rsidRDefault="005A7D7A" w:rsidP="00384814">
      <w:pPr>
        <w:pStyle w:val="BodyText"/>
        <w:spacing w:after="240"/>
        <w:ind w:right="-52"/>
        <w:jc w:val="both"/>
        <w:rPr>
          <w:rFonts w:asciiTheme="minorHAnsi" w:hAnsiTheme="minorHAnsi" w:cstheme="minorHAnsi"/>
          <w:szCs w:val="22"/>
        </w:rPr>
      </w:pPr>
    </w:p>
    <w:p w14:paraId="40A33129" w14:textId="4FA1BBEC" w:rsidR="005A7D7A" w:rsidRDefault="005A7D7A" w:rsidP="00384814">
      <w:pPr>
        <w:pStyle w:val="BodyText"/>
        <w:spacing w:after="240"/>
        <w:ind w:right="-52"/>
        <w:jc w:val="both"/>
        <w:rPr>
          <w:rFonts w:asciiTheme="minorHAnsi" w:hAnsiTheme="minorHAnsi" w:cstheme="minorHAnsi"/>
          <w:szCs w:val="22"/>
        </w:rPr>
      </w:pPr>
    </w:p>
    <w:p w14:paraId="0AB33843" w14:textId="1882088E" w:rsidR="005A7D7A" w:rsidRPr="00816669" w:rsidRDefault="005A7D7A" w:rsidP="00384814">
      <w:pPr>
        <w:pStyle w:val="BodyText"/>
        <w:spacing w:after="240"/>
        <w:ind w:right="-52"/>
        <w:jc w:val="both"/>
        <w:rPr>
          <w:rFonts w:asciiTheme="minorHAnsi" w:hAnsiTheme="minorHAnsi" w:cstheme="minorHAnsi"/>
          <w:szCs w:val="22"/>
        </w:rPr>
      </w:pPr>
      <w:r>
        <w:rPr>
          <w:rFonts w:asciiTheme="minorHAnsi" w:hAnsiTheme="minorHAnsi" w:cstheme="minorHAnsi"/>
          <w:szCs w:val="22"/>
        </w:rPr>
        <w:lastRenderedPageBreak/>
        <w:t xml:space="preserve"> </w:t>
      </w:r>
    </w:p>
    <w:tbl>
      <w:tblPr>
        <w:tblStyle w:val="TableGrid"/>
        <w:tblW w:w="0" w:type="auto"/>
        <w:tblLook w:val="04A0" w:firstRow="1" w:lastRow="0" w:firstColumn="1" w:lastColumn="0" w:noHBand="0" w:noVBand="1"/>
      </w:tblPr>
      <w:tblGrid>
        <w:gridCol w:w="687"/>
        <w:gridCol w:w="3706"/>
        <w:gridCol w:w="2368"/>
        <w:gridCol w:w="2256"/>
      </w:tblGrid>
      <w:tr w:rsidR="00384814" w:rsidRPr="00816669" w14:paraId="11E3C0D7" w14:textId="77777777" w:rsidTr="004A2FEE">
        <w:tc>
          <w:tcPr>
            <w:tcW w:w="902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6A48DE1" w14:textId="77777777" w:rsidR="00384814" w:rsidRPr="00816669" w:rsidRDefault="00384814" w:rsidP="004A2FEE">
            <w:pPr>
              <w:rPr>
                <w:rFonts w:asciiTheme="minorHAnsi" w:hAnsiTheme="minorHAnsi" w:cstheme="minorHAnsi"/>
                <w:b/>
                <w:sz w:val="21"/>
                <w:szCs w:val="21"/>
              </w:rPr>
            </w:pPr>
            <w:r w:rsidRPr="00816669">
              <w:rPr>
                <w:rFonts w:asciiTheme="minorHAnsi" w:hAnsiTheme="minorHAnsi" w:cstheme="minorHAnsi"/>
                <w:b/>
                <w:sz w:val="21"/>
                <w:szCs w:val="21"/>
              </w:rPr>
              <w:t>Composition of regulatory own funds</w:t>
            </w:r>
          </w:p>
        </w:tc>
      </w:tr>
      <w:tr w:rsidR="00384814" w:rsidRPr="00816669" w14:paraId="36AD362F" w14:textId="77777777" w:rsidTr="004A2FEE">
        <w:tc>
          <w:tcPr>
            <w:tcW w:w="68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969B23F" w14:textId="77777777" w:rsidR="00384814" w:rsidRPr="00816669" w:rsidRDefault="00384814" w:rsidP="004A2FEE">
            <w:pPr>
              <w:jc w:val="right"/>
              <w:rPr>
                <w:rFonts w:asciiTheme="minorHAnsi" w:hAnsiTheme="minorHAnsi" w:cstheme="minorHAnsi"/>
                <w:b/>
                <w:sz w:val="22"/>
                <w:szCs w:val="22"/>
              </w:rPr>
            </w:pPr>
          </w:p>
        </w:tc>
        <w:tc>
          <w:tcPr>
            <w:tcW w:w="370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6E8194B" w14:textId="77777777" w:rsidR="00384814" w:rsidRPr="00816669" w:rsidRDefault="00384814" w:rsidP="004A2FEE">
            <w:pPr>
              <w:rPr>
                <w:rFonts w:asciiTheme="minorHAnsi" w:hAnsiTheme="minorHAnsi" w:cstheme="minorHAnsi"/>
                <w:b/>
                <w:sz w:val="22"/>
                <w:szCs w:val="22"/>
              </w:rPr>
            </w:pPr>
            <w:r w:rsidRPr="00816669">
              <w:rPr>
                <w:rFonts w:asciiTheme="minorHAnsi" w:hAnsiTheme="minorHAnsi" w:cstheme="minorHAnsi"/>
                <w:b/>
                <w:sz w:val="22"/>
                <w:szCs w:val="22"/>
              </w:rPr>
              <w:t>Item</w:t>
            </w:r>
          </w:p>
        </w:tc>
        <w:tc>
          <w:tcPr>
            <w:tcW w:w="23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11F1621" w14:textId="1D9C7F38" w:rsidR="00384814" w:rsidRPr="00816669" w:rsidRDefault="00384814" w:rsidP="004A2FEE">
            <w:pPr>
              <w:jc w:val="right"/>
              <w:rPr>
                <w:rFonts w:asciiTheme="minorHAnsi" w:hAnsiTheme="minorHAnsi" w:cstheme="minorHAnsi"/>
                <w:b/>
                <w:sz w:val="22"/>
                <w:szCs w:val="22"/>
              </w:rPr>
            </w:pPr>
            <w:r w:rsidRPr="00816669">
              <w:rPr>
                <w:rFonts w:asciiTheme="minorHAnsi" w:hAnsiTheme="minorHAnsi" w:cstheme="minorHAnsi"/>
                <w:b/>
                <w:sz w:val="22"/>
                <w:szCs w:val="22"/>
              </w:rPr>
              <w:t>Amount (GBP)</w:t>
            </w:r>
          </w:p>
        </w:tc>
        <w:tc>
          <w:tcPr>
            <w:tcW w:w="225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0A0DF90" w14:textId="77777777" w:rsidR="00384814" w:rsidRPr="00816669" w:rsidRDefault="00384814" w:rsidP="004A2FEE">
            <w:pPr>
              <w:jc w:val="right"/>
              <w:rPr>
                <w:rFonts w:asciiTheme="minorHAnsi" w:hAnsiTheme="minorHAnsi" w:cstheme="minorHAnsi"/>
                <w:b/>
                <w:sz w:val="22"/>
                <w:szCs w:val="22"/>
              </w:rPr>
            </w:pPr>
            <w:r w:rsidRPr="00816669">
              <w:rPr>
                <w:rFonts w:asciiTheme="minorHAnsi" w:hAnsiTheme="minorHAnsi" w:cstheme="minorHAnsi"/>
                <w:bCs/>
                <w:sz w:val="22"/>
                <w:szCs w:val="22"/>
              </w:rPr>
              <w:t>Source based on reference numbers of the balance sheet (below</w:t>
            </w:r>
            <w:r w:rsidRPr="00816669">
              <w:rPr>
                <w:rFonts w:asciiTheme="minorHAnsi" w:hAnsiTheme="minorHAnsi" w:cstheme="minorHAnsi"/>
                <w:b/>
                <w:sz w:val="22"/>
                <w:szCs w:val="22"/>
              </w:rPr>
              <w:t>)</w:t>
            </w:r>
          </w:p>
        </w:tc>
      </w:tr>
      <w:tr w:rsidR="00384814" w:rsidRPr="00816669" w14:paraId="10CA5982"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2E047C9F" w14:textId="77777777" w:rsidR="00384814" w:rsidRPr="00816669" w:rsidRDefault="00384814" w:rsidP="004A2FEE">
            <w:pPr>
              <w:jc w:val="center"/>
              <w:rPr>
                <w:rFonts w:asciiTheme="minorHAnsi" w:hAnsiTheme="minorHAnsi" w:cstheme="minorHAnsi"/>
                <w:b/>
                <w:sz w:val="22"/>
                <w:szCs w:val="22"/>
              </w:rPr>
            </w:pPr>
            <w:r w:rsidRPr="00816669">
              <w:rPr>
                <w:rFonts w:asciiTheme="minorHAnsi" w:hAnsiTheme="minorHAnsi" w:cstheme="minorHAnsi"/>
                <w:b/>
                <w:sz w:val="22"/>
                <w:szCs w:val="22"/>
              </w:rPr>
              <w:t>1</w:t>
            </w:r>
          </w:p>
        </w:tc>
        <w:tc>
          <w:tcPr>
            <w:tcW w:w="3708" w:type="dxa"/>
            <w:tcBorders>
              <w:top w:val="single" w:sz="4" w:space="0" w:color="auto"/>
              <w:left w:val="single" w:sz="4" w:space="0" w:color="auto"/>
              <w:bottom w:val="single" w:sz="4" w:space="0" w:color="auto"/>
              <w:right w:val="single" w:sz="4" w:space="0" w:color="auto"/>
            </w:tcBorders>
            <w:vAlign w:val="center"/>
          </w:tcPr>
          <w:p w14:paraId="7D2DB301" w14:textId="77777777" w:rsidR="00384814" w:rsidRPr="00816669" w:rsidRDefault="00384814" w:rsidP="004A2FEE">
            <w:pPr>
              <w:rPr>
                <w:rFonts w:asciiTheme="minorHAnsi" w:hAnsiTheme="minorHAnsi" w:cstheme="minorHAnsi"/>
                <w:b/>
                <w:sz w:val="20"/>
                <w:szCs w:val="20"/>
              </w:rPr>
            </w:pPr>
            <w:r w:rsidRPr="00816669">
              <w:rPr>
                <w:rFonts w:asciiTheme="minorHAnsi" w:hAnsiTheme="minorHAnsi" w:cstheme="minorHAnsi"/>
                <w:b/>
                <w:sz w:val="20"/>
                <w:szCs w:val="20"/>
              </w:rPr>
              <w:t>OWN FUNDS</w:t>
            </w:r>
          </w:p>
        </w:tc>
        <w:tc>
          <w:tcPr>
            <w:tcW w:w="2368" w:type="dxa"/>
            <w:tcBorders>
              <w:top w:val="single" w:sz="4" w:space="0" w:color="auto"/>
              <w:left w:val="single" w:sz="4" w:space="0" w:color="auto"/>
              <w:bottom w:val="single" w:sz="4" w:space="0" w:color="auto"/>
              <w:right w:val="single" w:sz="4" w:space="0" w:color="auto"/>
            </w:tcBorders>
            <w:vAlign w:val="center"/>
          </w:tcPr>
          <w:p w14:paraId="5D3925FF" w14:textId="72AADFBE" w:rsidR="00384814" w:rsidRPr="00816669" w:rsidRDefault="002575FD" w:rsidP="002575FD">
            <w:pPr>
              <w:ind w:right="694"/>
              <w:rPr>
                <w:rFonts w:asciiTheme="minorHAnsi" w:hAnsiTheme="minorHAnsi" w:cstheme="minorHAnsi"/>
                <w:b/>
                <w:sz w:val="20"/>
                <w:szCs w:val="20"/>
              </w:rPr>
            </w:pPr>
            <w:r>
              <w:rPr>
                <w:rFonts w:asciiTheme="minorHAnsi" w:hAnsiTheme="minorHAnsi" w:cstheme="minorHAnsi"/>
                <w:b/>
                <w:sz w:val="20"/>
                <w:szCs w:val="20"/>
              </w:rPr>
              <w:t xml:space="preserve">        7,115,434</w:t>
            </w:r>
          </w:p>
        </w:tc>
        <w:tc>
          <w:tcPr>
            <w:tcW w:w="2257" w:type="dxa"/>
            <w:tcBorders>
              <w:top w:val="single" w:sz="4" w:space="0" w:color="auto"/>
              <w:left w:val="single" w:sz="4" w:space="0" w:color="auto"/>
              <w:bottom w:val="single" w:sz="4" w:space="0" w:color="auto"/>
              <w:right w:val="single" w:sz="4" w:space="0" w:color="auto"/>
            </w:tcBorders>
            <w:vAlign w:val="center"/>
          </w:tcPr>
          <w:p w14:paraId="7473928E" w14:textId="61819BD5"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11</w:t>
            </w:r>
          </w:p>
        </w:tc>
      </w:tr>
      <w:tr w:rsidR="00384814" w:rsidRPr="00816669" w14:paraId="0C6C9F1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DD896E2" w14:textId="77777777" w:rsidR="00384814" w:rsidRPr="00816669" w:rsidRDefault="00384814" w:rsidP="004A2FEE">
            <w:pPr>
              <w:jc w:val="center"/>
              <w:rPr>
                <w:rFonts w:asciiTheme="minorHAnsi" w:hAnsiTheme="minorHAnsi" w:cstheme="minorHAnsi"/>
                <w:b/>
                <w:sz w:val="22"/>
                <w:szCs w:val="22"/>
              </w:rPr>
            </w:pPr>
            <w:r w:rsidRPr="00816669">
              <w:rPr>
                <w:rFonts w:asciiTheme="minorHAnsi" w:hAnsiTheme="minorHAnsi" w:cstheme="minorHAnsi"/>
                <w:b/>
                <w:sz w:val="22"/>
                <w:szCs w:val="22"/>
              </w:rPr>
              <w:t>2</w:t>
            </w:r>
          </w:p>
        </w:tc>
        <w:tc>
          <w:tcPr>
            <w:tcW w:w="3708" w:type="dxa"/>
            <w:tcBorders>
              <w:top w:val="single" w:sz="4" w:space="0" w:color="auto"/>
              <w:left w:val="single" w:sz="4" w:space="0" w:color="auto"/>
              <w:bottom w:val="single" w:sz="4" w:space="0" w:color="auto"/>
              <w:right w:val="single" w:sz="4" w:space="0" w:color="auto"/>
            </w:tcBorders>
            <w:vAlign w:val="center"/>
          </w:tcPr>
          <w:p w14:paraId="392140F5" w14:textId="77777777" w:rsidR="00384814" w:rsidRPr="00816669" w:rsidRDefault="00384814" w:rsidP="004A2FEE">
            <w:pPr>
              <w:rPr>
                <w:rFonts w:asciiTheme="minorHAnsi" w:hAnsiTheme="minorHAnsi" w:cstheme="minorHAnsi"/>
                <w:b/>
                <w:sz w:val="20"/>
                <w:szCs w:val="20"/>
              </w:rPr>
            </w:pPr>
            <w:r w:rsidRPr="00816669">
              <w:rPr>
                <w:rFonts w:asciiTheme="minorHAnsi" w:hAnsiTheme="minorHAnsi" w:cstheme="minorHAnsi"/>
                <w:b/>
                <w:sz w:val="20"/>
                <w:szCs w:val="20"/>
              </w:rPr>
              <w:t>TIER 1 CAPITAL</w:t>
            </w:r>
          </w:p>
        </w:tc>
        <w:tc>
          <w:tcPr>
            <w:tcW w:w="2368" w:type="dxa"/>
            <w:tcBorders>
              <w:top w:val="single" w:sz="4" w:space="0" w:color="auto"/>
              <w:left w:val="single" w:sz="4" w:space="0" w:color="auto"/>
              <w:bottom w:val="single" w:sz="4" w:space="0" w:color="auto"/>
              <w:right w:val="single" w:sz="4" w:space="0" w:color="auto"/>
            </w:tcBorders>
            <w:vAlign w:val="center"/>
          </w:tcPr>
          <w:p w14:paraId="4BC5BD36" w14:textId="5773B55B" w:rsidR="00384814" w:rsidRPr="00816669" w:rsidRDefault="00AF3C4F" w:rsidP="00AF3C4F">
            <w:pPr>
              <w:ind w:right="694"/>
              <w:jc w:val="center"/>
              <w:rPr>
                <w:rFonts w:asciiTheme="minorHAnsi" w:hAnsiTheme="minorHAnsi" w:cstheme="minorHAnsi"/>
                <w:b/>
                <w:sz w:val="20"/>
                <w:szCs w:val="20"/>
              </w:rPr>
            </w:pPr>
            <w:r>
              <w:rPr>
                <w:rFonts w:asciiTheme="minorHAnsi" w:hAnsiTheme="minorHAnsi" w:cstheme="minorHAnsi"/>
                <w:b/>
                <w:sz w:val="20"/>
                <w:szCs w:val="20"/>
              </w:rPr>
              <w:t xml:space="preserve">               7</w:t>
            </w:r>
            <w:r w:rsidR="001C53DC">
              <w:rPr>
                <w:rFonts w:asciiTheme="minorHAnsi" w:hAnsiTheme="minorHAnsi" w:cstheme="minorHAnsi"/>
                <w:b/>
                <w:sz w:val="20"/>
                <w:szCs w:val="20"/>
              </w:rPr>
              <w:t>,</w:t>
            </w:r>
            <w:r w:rsidR="002575FD">
              <w:rPr>
                <w:rFonts w:asciiTheme="minorHAnsi" w:hAnsiTheme="minorHAnsi" w:cstheme="minorHAnsi"/>
                <w:b/>
                <w:sz w:val="20"/>
                <w:szCs w:val="20"/>
              </w:rPr>
              <w:t>115,434</w:t>
            </w:r>
          </w:p>
        </w:tc>
        <w:tc>
          <w:tcPr>
            <w:tcW w:w="2257" w:type="dxa"/>
            <w:tcBorders>
              <w:top w:val="single" w:sz="4" w:space="0" w:color="auto"/>
              <w:left w:val="single" w:sz="4" w:space="0" w:color="auto"/>
              <w:bottom w:val="single" w:sz="4" w:space="0" w:color="auto"/>
              <w:right w:val="single" w:sz="4" w:space="0" w:color="auto"/>
            </w:tcBorders>
            <w:vAlign w:val="center"/>
          </w:tcPr>
          <w:p w14:paraId="7BF8A205" w14:textId="2A031D68"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11</w:t>
            </w:r>
          </w:p>
        </w:tc>
      </w:tr>
      <w:tr w:rsidR="00384814" w:rsidRPr="00816669" w14:paraId="5532D4A4"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E20FAC5" w14:textId="77777777" w:rsidR="00384814" w:rsidRPr="00816669" w:rsidRDefault="00384814" w:rsidP="004A2FEE">
            <w:pPr>
              <w:jc w:val="center"/>
              <w:rPr>
                <w:rFonts w:asciiTheme="minorHAnsi" w:hAnsiTheme="minorHAnsi" w:cstheme="minorHAnsi"/>
                <w:b/>
                <w:sz w:val="22"/>
                <w:szCs w:val="22"/>
              </w:rPr>
            </w:pPr>
            <w:r w:rsidRPr="00816669">
              <w:rPr>
                <w:rFonts w:asciiTheme="minorHAnsi" w:hAnsiTheme="minorHAnsi" w:cstheme="minorHAnsi"/>
                <w:b/>
                <w:sz w:val="22"/>
                <w:szCs w:val="22"/>
              </w:rPr>
              <w:t>3</w:t>
            </w:r>
          </w:p>
        </w:tc>
        <w:tc>
          <w:tcPr>
            <w:tcW w:w="3708" w:type="dxa"/>
            <w:tcBorders>
              <w:top w:val="single" w:sz="4" w:space="0" w:color="auto"/>
              <w:left w:val="single" w:sz="4" w:space="0" w:color="auto"/>
              <w:bottom w:val="single" w:sz="4" w:space="0" w:color="auto"/>
              <w:right w:val="single" w:sz="4" w:space="0" w:color="auto"/>
            </w:tcBorders>
            <w:vAlign w:val="center"/>
          </w:tcPr>
          <w:p w14:paraId="12412C3D" w14:textId="77777777" w:rsidR="00384814" w:rsidRPr="00816669" w:rsidRDefault="00384814" w:rsidP="004A2FEE">
            <w:pPr>
              <w:rPr>
                <w:rFonts w:asciiTheme="minorHAnsi" w:hAnsiTheme="minorHAnsi" w:cstheme="minorHAnsi"/>
                <w:b/>
                <w:sz w:val="20"/>
                <w:szCs w:val="20"/>
              </w:rPr>
            </w:pPr>
            <w:r w:rsidRPr="00816669">
              <w:rPr>
                <w:rFonts w:asciiTheme="minorHAnsi" w:hAnsiTheme="minorHAnsi" w:cstheme="minorHAnsi"/>
                <w:b/>
                <w:sz w:val="20"/>
                <w:szCs w:val="20"/>
              </w:rPr>
              <w:t>COMMON EQUITY TIER 1 CAPITAL</w:t>
            </w:r>
          </w:p>
        </w:tc>
        <w:tc>
          <w:tcPr>
            <w:tcW w:w="2368" w:type="dxa"/>
            <w:tcBorders>
              <w:top w:val="single" w:sz="4" w:space="0" w:color="auto"/>
              <w:left w:val="single" w:sz="4" w:space="0" w:color="auto"/>
              <w:bottom w:val="single" w:sz="4" w:space="0" w:color="auto"/>
              <w:right w:val="single" w:sz="4" w:space="0" w:color="auto"/>
            </w:tcBorders>
            <w:vAlign w:val="center"/>
          </w:tcPr>
          <w:p w14:paraId="694ADD60" w14:textId="5BA6FF4D" w:rsidR="00384814" w:rsidRPr="00816669" w:rsidRDefault="00AF3C4F" w:rsidP="00AF3C4F">
            <w:pPr>
              <w:ind w:right="694"/>
              <w:jc w:val="center"/>
              <w:rPr>
                <w:rFonts w:asciiTheme="minorHAnsi" w:hAnsiTheme="minorHAnsi" w:cstheme="minorHAnsi"/>
                <w:b/>
                <w:sz w:val="20"/>
                <w:szCs w:val="20"/>
              </w:rPr>
            </w:pPr>
            <w:r>
              <w:rPr>
                <w:rFonts w:asciiTheme="minorHAnsi" w:hAnsiTheme="minorHAnsi" w:cstheme="minorHAnsi"/>
                <w:b/>
                <w:sz w:val="20"/>
                <w:szCs w:val="20"/>
              </w:rPr>
              <w:t xml:space="preserve"> </w:t>
            </w:r>
            <w:r w:rsidR="002575FD">
              <w:rPr>
                <w:rFonts w:asciiTheme="minorHAnsi" w:hAnsiTheme="minorHAnsi" w:cstheme="minorHAnsi"/>
                <w:b/>
                <w:sz w:val="20"/>
                <w:szCs w:val="20"/>
              </w:rPr>
              <w:t>7,115,434</w:t>
            </w:r>
          </w:p>
        </w:tc>
        <w:tc>
          <w:tcPr>
            <w:tcW w:w="2257" w:type="dxa"/>
            <w:tcBorders>
              <w:top w:val="single" w:sz="4" w:space="0" w:color="auto"/>
              <w:left w:val="single" w:sz="4" w:space="0" w:color="auto"/>
              <w:bottom w:val="single" w:sz="4" w:space="0" w:color="auto"/>
              <w:right w:val="single" w:sz="4" w:space="0" w:color="auto"/>
            </w:tcBorders>
            <w:vAlign w:val="center"/>
          </w:tcPr>
          <w:p w14:paraId="781B9512" w14:textId="793B9F86"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11</w:t>
            </w:r>
          </w:p>
        </w:tc>
      </w:tr>
      <w:tr w:rsidR="00384814" w:rsidRPr="00816669" w14:paraId="25797E27"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1A147039"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4</w:t>
            </w:r>
          </w:p>
        </w:tc>
        <w:tc>
          <w:tcPr>
            <w:tcW w:w="3708" w:type="dxa"/>
            <w:tcBorders>
              <w:top w:val="single" w:sz="4" w:space="0" w:color="auto"/>
              <w:left w:val="single" w:sz="4" w:space="0" w:color="auto"/>
              <w:bottom w:val="single" w:sz="4" w:space="0" w:color="auto"/>
              <w:right w:val="single" w:sz="4" w:space="0" w:color="auto"/>
            </w:tcBorders>
            <w:vAlign w:val="center"/>
          </w:tcPr>
          <w:p w14:paraId="1D21E99D"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Fully </w:t>
            </w:r>
            <w:proofErr w:type="gramStart"/>
            <w:r w:rsidRPr="00816669">
              <w:rPr>
                <w:rFonts w:asciiTheme="minorHAnsi" w:hAnsiTheme="minorHAnsi" w:cstheme="minorHAnsi"/>
                <w:sz w:val="20"/>
                <w:szCs w:val="20"/>
              </w:rPr>
              <w:t>paid up</w:t>
            </w:r>
            <w:proofErr w:type="gramEnd"/>
            <w:r w:rsidRPr="00816669">
              <w:rPr>
                <w:rFonts w:asciiTheme="minorHAnsi" w:hAnsiTheme="minorHAnsi" w:cstheme="minorHAnsi"/>
                <w:sz w:val="20"/>
                <w:szCs w:val="20"/>
              </w:rPr>
              <w:t xml:space="preserve"> capital instruments</w:t>
            </w:r>
          </w:p>
        </w:tc>
        <w:tc>
          <w:tcPr>
            <w:tcW w:w="2368" w:type="dxa"/>
            <w:tcBorders>
              <w:top w:val="single" w:sz="4" w:space="0" w:color="auto"/>
              <w:left w:val="single" w:sz="4" w:space="0" w:color="auto"/>
              <w:bottom w:val="single" w:sz="4" w:space="0" w:color="auto"/>
              <w:right w:val="single" w:sz="4" w:space="0" w:color="auto"/>
            </w:tcBorders>
            <w:vAlign w:val="center"/>
          </w:tcPr>
          <w:p w14:paraId="390BFAA3" w14:textId="3F2E1CAA" w:rsidR="00384814" w:rsidRPr="00816669" w:rsidRDefault="00AF3C4F" w:rsidP="00AF3C4F">
            <w:pPr>
              <w:ind w:right="694"/>
              <w:jc w:val="center"/>
              <w:rPr>
                <w:rFonts w:asciiTheme="minorHAnsi" w:hAnsiTheme="minorHAnsi" w:cstheme="minorHAnsi"/>
                <w:sz w:val="20"/>
                <w:szCs w:val="20"/>
              </w:rPr>
            </w:pPr>
            <w:r>
              <w:rPr>
                <w:rFonts w:asciiTheme="minorHAnsi" w:hAnsiTheme="minorHAnsi" w:cstheme="minorHAnsi"/>
                <w:sz w:val="20"/>
                <w:szCs w:val="20"/>
              </w:rPr>
              <w:t xml:space="preserve">               </w:t>
            </w:r>
            <w:r w:rsidRPr="002575FD">
              <w:rPr>
                <w:rFonts w:asciiTheme="minorHAnsi" w:hAnsiTheme="minorHAnsi" w:cstheme="minorHAnsi"/>
                <w:sz w:val="20"/>
                <w:szCs w:val="20"/>
              </w:rPr>
              <w:t>4</w:t>
            </w:r>
            <w:r w:rsidR="001C53DC" w:rsidRPr="002575FD">
              <w:rPr>
                <w:rFonts w:asciiTheme="minorHAnsi" w:hAnsiTheme="minorHAnsi" w:cstheme="minorHAnsi"/>
                <w:sz w:val="20"/>
                <w:szCs w:val="20"/>
              </w:rPr>
              <w:t>,</w:t>
            </w:r>
            <w:r w:rsidRPr="002575FD">
              <w:rPr>
                <w:rFonts w:asciiTheme="minorHAnsi" w:hAnsiTheme="minorHAnsi" w:cstheme="minorHAnsi"/>
                <w:sz w:val="20"/>
                <w:szCs w:val="20"/>
              </w:rPr>
              <w:t>600</w:t>
            </w:r>
            <w:r w:rsidR="001C53DC" w:rsidRPr="002575FD">
              <w:rPr>
                <w:rFonts w:asciiTheme="minorHAnsi" w:hAnsiTheme="minorHAnsi" w:cstheme="minorHAnsi"/>
                <w:sz w:val="20"/>
                <w:szCs w:val="20"/>
              </w:rPr>
              <w:t>,</w:t>
            </w:r>
            <w:r w:rsidRPr="002575FD">
              <w:rPr>
                <w:rFonts w:asciiTheme="minorHAnsi" w:hAnsiTheme="minorHAnsi" w:cstheme="minorHAnsi"/>
                <w:sz w:val="20"/>
                <w:szCs w:val="20"/>
              </w:rPr>
              <w:t>002</w:t>
            </w:r>
          </w:p>
        </w:tc>
        <w:tc>
          <w:tcPr>
            <w:tcW w:w="2257" w:type="dxa"/>
            <w:tcBorders>
              <w:top w:val="single" w:sz="4" w:space="0" w:color="auto"/>
              <w:left w:val="single" w:sz="4" w:space="0" w:color="auto"/>
              <w:bottom w:val="single" w:sz="4" w:space="0" w:color="auto"/>
              <w:right w:val="single" w:sz="4" w:space="0" w:color="auto"/>
            </w:tcBorders>
            <w:vAlign w:val="center"/>
          </w:tcPr>
          <w:p w14:paraId="1B9B0773" w14:textId="7832F34D"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AF3C4F">
              <w:rPr>
                <w:rFonts w:asciiTheme="minorHAnsi" w:hAnsiTheme="minorHAnsi" w:cstheme="minorHAnsi"/>
                <w:sz w:val="20"/>
                <w:szCs w:val="20"/>
              </w:rPr>
              <w:t>8</w:t>
            </w:r>
          </w:p>
        </w:tc>
      </w:tr>
      <w:tr w:rsidR="00384814" w:rsidRPr="00816669" w14:paraId="128D7665"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40E95A8F"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5</w:t>
            </w:r>
          </w:p>
        </w:tc>
        <w:tc>
          <w:tcPr>
            <w:tcW w:w="3708" w:type="dxa"/>
            <w:tcBorders>
              <w:top w:val="single" w:sz="4" w:space="0" w:color="auto"/>
              <w:left w:val="single" w:sz="4" w:space="0" w:color="auto"/>
              <w:bottom w:val="single" w:sz="4" w:space="0" w:color="auto"/>
              <w:right w:val="single" w:sz="4" w:space="0" w:color="auto"/>
            </w:tcBorders>
            <w:vAlign w:val="center"/>
          </w:tcPr>
          <w:p w14:paraId="53440939"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Share premium</w:t>
            </w:r>
          </w:p>
        </w:tc>
        <w:tc>
          <w:tcPr>
            <w:tcW w:w="2368" w:type="dxa"/>
            <w:tcBorders>
              <w:top w:val="single" w:sz="4" w:space="0" w:color="auto"/>
              <w:left w:val="single" w:sz="4" w:space="0" w:color="auto"/>
              <w:bottom w:val="single" w:sz="4" w:space="0" w:color="auto"/>
              <w:right w:val="single" w:sz="4" w:space="0" w:color="auto"/>
            </w:tcBorders>
            <w:vAlign w:val="center"/>
          </w:tcPr>
          <w:p w14:paraId="7422B169" w14:textId="038B13E9" w:rsidR="00384814" w:rsidRPr="00816669" w:rsidRDefault="00AF3C4F" w:rsidP="00AF3C4F">
            <w:pPr>
              <w:ind w:right="694"/>
              <w:jc w:val="center"/>
              <w:rPr>
                <w:rFonts w:asciiTheme="minorHAnsi" w:hAnsiTheme="minorHAnsi" w:cstheme="minorHAnsi"/>
                <w:sz w:val="20"/>
                <w:szCs w:val="20"/>
              </w:rPr>
            </w:pPr>
            <w:r>
              <w:rPr>
                <w:rFonts w:asciiTheme="minorHAnsi" w:hAnsiTheme="minorHAnsi" w:cstheme="minorHAnsi"/>
                <w:sz w:val="20"/>
                <w:szCs w:val="20"/>
              </w:rPr>
              <w:t xml:space="preserve">           99</w:t>
            </w:r>
            <w:r w:rsidR="001C53DC">
              <w:rPr>
                <w:rFonts w:asciiTheme="minorHAnsi" w:hAnsiTheme="minorHAnsi" w:cstheme="minorHAnsi"/>
                <w:sz w:val="20"/>
                <w:szCs w:val="20"/>
              </w:rPr>
              <w:t>,</w:t>
            </w:r>
            <w:r>
              <w:rPr>
                <w:rFonts w:asciiTheme="minorHAnsi" w:hAnsiTheme="minorHAnsi" w:cstheme="minorHAnsi"/>
                <w:sz w:val="20"/>
                <w:szCs w:val="20"/>
              </w:rPr>
              <w:t>99</w:t>
            </w:r>
            <w:r w:rsidR="002575FD">
              <w:rPr>
                <w:rFonts w:asciiTheme="minorHAnsi" w:hAnsiTheme="minorHAnsi" w:cstheme="minorHAnsi"/>
                <w:sz w:val="20"/>
                <w:szCs w:val="20"/>
              </w:rPr>
              <w:t>8</w:t>
            </w:r>
          </w:p>
        </w:tc>
        <w:tc>
          <w:tcPr>
            <w:tcW w:w="2257" w:type="dxa"/>
            <w:tcBorders>
              <w:top w:val="single" w:sz="4" w:space="0" w:color="auto"/>
              <w:left w:val="single" w:sz="4" w:space="0" w:color="auto"/>
              <w:bottom w:val="single" w:sz="4" w:space="0" w:color="auto"/>
              <w:right w:val="single" w:sz="4" w:space="0" w:color="auto"/>
            </w:tcBorders>
            <w:vAlign w:val="center"/>
          </w:tcPr>
          <w:p w14:paraId="71FD03F3" w14:textId="40E01D48"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196A7F">
              <w:rPr>
                <w:rFonts w:asciiTheme="minorHAnsi" w:hAnsiTheme="minorHAnsi" w:cstheme="minorHAnsi"/>
                <w:sz w:val="20"/>
                <w:szCs w:val="20"/>
              </w:rPr>
              <w:t>9</w:t>
            </w:r>
          </w:p>
        </w:tc>
      </w:tr>
      <w:tr w:rsidR="00384814" w:rsidRPr="00816669" w14:paraId="5D8F5117"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803B092"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6</w:t>
            </w:r>
          </w:p>
        </w:tc>
        <w:tc>
          <w:tcPr>
            <w:tcW w:w="3708" w:type="dxa"/>
            <w:tcBorders>
              <w:top w:val="single" w:sz="4" w:space="0" w:color="auto"/>
              <w:left w:val="single" w:sz="4" w:space="0" w:color="auto"/>
              <w:bottom w:val="single" w:sz="4" w:space="0" w:color="auto"/>
              <w:right w:val="single" w:sz="4" w:space="0" w:color="auto"/>
            </w:tcBorders>
            <w:vAlign w:val="center"/>
          </w:tcPr>
          <w:p w14:paraId="2099AD81"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Retained earnings</w:t>
            </w:r>
          </w:p>
        </w:tc>
        <w:tc>
          <w:tcPr>
            <w:tcW w:w="2368" w:type="dxa"/>
            <w:tcBorders>
              <w:top w:val="single" w:sz="4" w:space="0" w:color="auto"/>
              <w:left w:val="single" w:sz="4" w:space="0" w:color="auto"/>
              <w:bottom w:val="single" w:sz="4" w:space="0" w:color="auto"/>
              <w:right w:val="single" w:sz="4" w:space="0" w:color="auto"/>
            </w:tcBorders>
            <w:vAlign w:val="center"/>
          </w:tcPr>
          <w:p w14:paraId="42A1E6E2" w14:textId="56AF4155" w:rsidR="00384814" w:rsidRPr="00816669" w:rsidRDefault="00196A7F" w:rsidP="00196A7F">
            <w:pPr>
              <w:ind w:right="694"/>
              <w:jc w:val="center"/>
              <w:rPr>
                <w:rFonts w:asciiTheme="minorHAnsi" w:hAnsiTheme="minorHAnsi" w:cstheme="minorHAnsi"/>
                <w:sz w:val="20"/>
                <w:szCs w:val="20"/>
              </w:rPr>
            </w:pPr>
            <w:r>
              <w:rPr>
                <w:rFonts w:asciiTheme="minorHAnsi" w:hAnsiTheme="minorHAnsi" w:cstheme="minorHAnsi"/>
                <w:sz w:val="20"/>
                <w:szCs w:val="20"/>
              </w:rPr>
              <w:t xml:space="preserve">              2</w:t>
            </w:r>
            <w:r w:rsidR="001C53DC">
              <w:rPr>
                <w:rFonts w:asciiTheme="minorHAnsi" w:hAnsiTheme="minorHAnsi" w:cstheme="minorHAnsi"/>
                <w:sz w:val="20"/>
                <w:szCs w:val="20"/>
              </w:rPr>
              <w:t>,</w:t>
            </w:r>
            <w:r>
              <w:rPr>
                <w:rFonts w:asciiTheme="minorHAnsi" w:hAnsiTheme="minorHAnsi" w:cstheme="minorHAnsi"/>
                <w:sz w:val="20"/>
                <w:szCs w:val="20"/>
              </w:rPr>
              <w:t>4</w:t>
            </w:r>
            <w:r w:rsidR="002575FD">
              <w:rPr>
                <w:rFonts w:asciiTheme="minorHAnsi" w:hAnsiTheme="minorHAnsi" w:cstheme="minorHAnsi"/>
                <w:sz w:val="20"/>
                <w:szCs w:val="20"/>
              </w:rPr>
              <w:t>15,434</w:t>
            </w:r>
          </w:p>
        </w:tc>
        <w:tc>
          <w:tcPr>
            <w:tcW w:w="2257" w:type="dxa"/>
            <w:tcBorders>
              <w:top w:val="single" w:sz="4" w:space="0" w:color="auto"/>
              <w:left w:val="single" w:sz="4" w:space="0" w:color="auto"/>
              <w:bottom w:val="single" w:sz="4" w:space="0" w:color="auto"/>
              <w:right w:val="single" w:sz="4" w:space="0" w:color="auto"/>
            </w:tcBorders>
            <w:vAlign w:val="center"/>
          </w:tcPr>
          <w:p w14:paraId="58234EB5" w14:textId="52F21334" w:rsidR="00384814" w:rsidRPr="00816669" w:rsidRDefault="00384814" w:rsidP="004A2FEE">
            <w:pPr>
              <w:jc w:val="center"/>
              <w:rPr>
                <w:rFonts w:asciiTheme="minorHAnsi" w:hAnsiTheme="minorHAnsi" w:cstheme="minorHAnsi"/>
                <w:sz w:val="20"/>
                <w:szCs w:val="20"/>
              </w:rPr>
            </w:pPr>
            <w:r w:rsidRPr="00816669">
              <w:rPr>
                <w:rFonts w:asciiTheme="minorHAnsi" w:hAnsiTheme="minorHAnsi" w:cstheme="minorHAnsi"/>
                <w:sz w:val="20"/>
                <w:szCs w:val="20"/>
              </w:rPr>
              <w:t xml:space="preserve">Line </w:t>
            </w:r>
            <w:r w:rsidR="00196A7F">
              <w:rPr>
                <w:rFonts w:asciiTheme="minorHAnsi" w:hAnsiTheme="minorHAnsi" w:cstheme="minorHAnsi"/>
                <w:sz w:val="20"/>
                <w:szCs w:val="20"/>
              </w:rPr>
              <w:t>10</w:t>
            </w:r>
          </w:p>
        </w:tc>
      </w:tr>
      <w:tr w:rsidR="00384814" w:rsidRPr="00816669" w14:paraId="12C97EDB"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E26C94D"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7</w:t>
            </w:r>
          </w:p>
        </w:tc>
        <w:tc>
          <w:tcPr>
            <w:tcW w:w="3708" w:type="dxa"/>
            <w:tcBorders>
              <w:top w:val="single" w:sz="4" w:space="0" w:color="auto"/>
              <w:left w:val="single" w:sz="4" w:space="0" w:color="auto"/>
              <w:bottom w:val="single" w:sz="4" w:space="0" w:color="auto"/>
              <w:right w:val="single" w:sz="4" w:space="0" w:color="auto"/>
            </w:tcBorders>
            <w:vAlign w:val="center"/>
          </w:tcPr>
          <w:p w14:paraId="11058909"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Accumulated other comprehensive income</w:t>
            </w:r>
          </w:p>
        </w:tc>
        <w:tc>
          <w:tcPr>
            <w:tcW w:w="2368" w:type="dxa"/>
            <w:tcBorders>
              <w:top w:val="single" w:sz="4" w:space="0" w:color="auto"/>
              <w:left w:val="single" w:sz="4" w:space="0" w:color="auto"/>
              <w:bottom w:val="single" w:sz="4" w:space="0" w:color="auto"/>
              <w:right w:val="single" w:sz="4" w:space="0" w:color="auto"/>
            </w:tcBorders>
            <w:vAlign w:val="center"/>
          </w:tcPr>
          <w:p w14:paraId="1C66CDA0"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2EEB452C" w14:textId="77777777" w:rsidR="00384814" w:rsidRPr="00816669" w:rsidRDefault="00384814" w:rsidP="004A2FEE">
            <w:pPr>
              <w:jc w:val="center"/>
              <w:rPr>
                <w:rFonts w:asciiTheme="minorHAnsi" w:hAnsiTheme="minorHAnsi" w:cstheme="minorHAnsi"/>
                <w:sz w:val="20"/>
                <w:szCs w:val="20"/>
              </w:rPr>
            </w:pPr>
          </w:p>
        </w:tc>
      </w:tr>
      <w:tr w:rsidR="00384814" w:rsidRPr="00816669" w14:paraId="3F3B2C4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714512D"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8</w:t>
            </w:r>
          </w:p>
        </w:tc>
        <w:tc>
          <w:tcPr>
            <w:tcW w:w="3708" w:type="dxa"/>
            <w:tcBorders>
              <w:top w:val="single" w:sz="4" w:space="0" w:color="auto"/>
              <w:left w:val="single" w:sz="4" w:space="0" w:color="auto"/>
              <w:bottom w:val="single" w:sz="4" w:space="0" w:color="auto"/>
              <w:right w:val="single" w:sz="4" w:space="0" w:color="auto"/>
            </w:tcBorders>
            <w:vAlign w:val="center"/>
          </w:tcPr>
          <w:p w14:paraId="417B1F56"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Other reserves</w:t>
            </w:r>
          </w:p>
        </w:tc>
        <w:tc>
          <w:tcPr>
            <w:tcW w:w="2368" w:type="dxa"/>
            <w:tcBorders>
              <w:top w:val="single" w:sz="4" w:space="0" w:color="auto"/>
              <w:left w:val="single" w:sz="4" w:space="0" w:color="auto"/>
              <w:bottom w:val="single" w:sz="4" w:space="0" w:color="auto"/>
              <w:right w:val="single" w:sz="4" w:space="0" w:color="auto"/>
            </w:tcBorders>
            <w:vAlign w:val="center"/>
          </w:tcPr>
          <w:p w14:paraId="2B6E06FA"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370E6B67" w14:textId="77777777" w:rsidR="00384814" w:rsidRPr="00816669" w:rsidRDefault="00384814" w:rsidP="004A2FEE">
            <w:pPr>
              <w:jc w:val="center"/>
              <w:rPr>
                <w:rFonts w:asciiTheme="minorHAnsi" w:hAnsiTheme="minorHAnsi" w:cstheme="minorHAnsi"/>
                <w:sz w:val="20"/>
                <w:szCs w:val="20"/>
              </w:rPr>
            </w:pPr>
          </w:p>
        </w:tc>
      </w:tr>
      <w:tr w:rsidR="00384814" w:rsidRPr="00816669" w14:paraId="3D1ECF0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C1F76AA"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9</w:t>
            </w:r>
          </w:p>
        </w:tc>
        <w:tc>
          <w:tcPr>
            <w:tcW w:w="3708" w:type="dxa"/>
            <w:tcBorders>
              <w:top w:val="single" w:sz="4" w:space="0" w:color="auto"/>
              <w:left w:val="single" w:sz="4" w:space="0" w:color="auto"/>
              <w:bottom w:val="single" w:sz="4" w:space="0" w:color="auto"/>
              <w:right w:val="single" w:sz="4" w:space="0" w:color="auto"/>
            </w:tcBorders>
            <w:vAlign w:val="center"/>
          </w:tcPr>
          <w:p w14:paraId="3E1838CA"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Adjustments to CET1 due to prudential filters</w:t>
            </w:r>
          </w:p>
        </w:tc>
        <w:tc>
          <w:tcPr>
            <w:tcW w:w="2368" w:type="dxa"/>
            <w:tcBorders>
              <w:top w:val="single" w:sz="4" w:space="0" w:color="auto"/>
              <w:left w:val="single" w:sz="4" w:space="0" w:color="auto"/>
              <w:bottom w:val="single" w:sz="4" w:space="0" w:color="auto"/>
              <w:right w:val="single" w:sz="4" w:space="0" w:color="auto"/>
            </w:tcBorders>
            <w:vAlign w:val="center"/>
          </w:tcPr>
          <w:p w14:paraId="42477FD7"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4C002882" w14:textId="77777777" w:rsidR="00384814" w:rsidRPr="00816669" w:rsidRDefault="00384814" w:rsidP="004A2FEE">
            <w:pPr>
              <w:jc w:val="center"/>
              <w:rPr>
                <w:rFonts w:asciiTheme="minorHAnsi" w:hAnsiTheme="minorHAnsi" w:cstheme="minorHAnsi"/>
                <w:sz w:val="20"/>
                <w:szCs w:val="20"/>
              </w:rPr>
            </w:pPr>
          </w:p>
        </w:tc>
      </w:tr>
      <w:tr w:rsidR="00384814" w:rsidRPr="00816669" w14:paraId="4D223A3D"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61FA1F08"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10</w:t>
            </w:r>
          </w:p>
        </w:tc>
        <w:tc>
          <w:tcPr>
            <w:tcW w:w="3708" w:type="dxa"/>
            <w:tcBorders>
              <w:top w:val="single" w:sz="4" w:space="0" w:color="auto"/>
              <w:left w:val="single" w:sz="4" w:space="0" w:color="auto"/>
              <w:bottom w:val="single" w:sz="4" w:space="0" w:color="auto"/>
              <w:right w:val="single" w:sz="4" w:space="0" w:color="auto"/>
            </w:tcBorders>
            <w:vAlign w:val="center"/>
          </w:tcPr>
          <w:p w14:paraId="538552AB"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Other funds</w:t>
            </w:r>
          </w:p>
        </w:tc>
        <w:tc>
          <w:tcPr>
            <w:tcW w:w="2368" w:type="dxa"/>
            <w:tcBorders>
              <w:top w:val="single" w:sz="4" w:space="0" w:color="auto"/>
              <w:left w:val="single" w:sz="4" w:space="0" w:color="auto"/>
              <w:bottom w:val="single" w:sz="4" w:space="0" w:color="auto"/>
              <w:right w:val="single" w:sz="4" w:space="0" w:color="auto"/>
            </w:tcBorders>
            <w:vAlign w:val="center"/>
          </w:tcPr>
          <w:p w14:paraId="3CC13F04"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C9B4E93" w14:textId="77777777" w:rsidR="00384814" w:rsidRPr="00816669" w:rsidRDefault="00384814" w:rsidP="004A2FEE">
            <w:pPr>
              <w:jc w:val="center"/>
              <w:rPr>
                <w:rFonts w:asciiTheme="minorHAnsi" w:hAnsiTheme="minorHAnsi" w:cstheme="minorHAnsi"/>
                <w:sz w:val="20"/>
                <w:szCs w:val="20"/>
              </w:rPr>
            </w:pPr>
          </w:p>
        </w:tc>
      </w:tr>
      <w:tr w:rsidR="00384814" w:rsidRPr="00816669" w14:paraId="00B915AA"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5211206"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11</w:t>
            </w:r>
          </w:p>
        </w:tc>
        <w:tc>
          <w:tcPr>
            <w:tcW w:w="3708" w:type="dxa"/>
            <w:tcBorders>
              <w:top w:val="single" w:sz="4" w:space="0" w:color="auto"/>
              <w:left w:val="single" w:sz="4" w:space="0" w:color="auto"/>
              <w:bottom w:val="single" w:sz="4" w:space="0" w:color="auto"/>
              <w:right w:val="single" w:sz="4" w:space="0" w:color="auto"/>
            </w:tcBorders>
            <w:vAlign w:val="center"/>
          </w:tcPr>
          <w:p w14:paraId="50BD3E2E"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(-)TOTAL DEDUCTIONS FROM COMMON EQUITY TIER 1</w:t>
            </w:r>
          </w:p>
        </w:tc>
        <w:tc>
          <w:tcPr>
            <w:tcW w:w="2368" w:type="dxa"/>
            <w:tcBorders>
              <w:top w:val="single" w:sz="4" w:space="0" w:color="auto"/>
              <w:left w:val="single" w:sz="4" w:space="0" w:color="auto"/>
              <w:bottom w:val="single" w:sz="4" w:space="0" w:color="auto"/>
              <w:right w:val="single" w:sz="4" w:space="0" w:color="auto"/>
            </w:tcBorders>
            <w:vAlign w:val="center"/>
          </w:tcPr>
          <w:p w14:paraId="070747ED" w14:textId="6E5D4D7C" w:rsidR="00384814" w:rsidRPr="00816669" w:rsidRDefault="00196A7F" w:rsidP="00196A7F">
            <w:pPr>
              <w:ind w:right="694"/>
              <w:jc w:val="center"/>
              <w:rPr>
                <w:rFonts w:asciiTheme="minorHAnsi" w:hAnsiTheme="minorHAnsi" w:cstheme="minorHAnsi"/>
                <w:sz w:val="20"/>
                <w:szCs w:val="20"/>
              </w:rPr>
            </w:pPr>
            <w:r>
              <w:rPr>
                <w:rFonts w:asciiTheme="minorHAnsi" w:hAnsiTheme="minorHAnsi" w:cstheme="minorHAnsi"/>
                <w:sz w:val="20"/>
                <w:szCs w:val="20"/>
              </w:rPr>
              <w:t xml:space="preserve">             </w:t>
            </w:r>
            <w:r w:rsidR="006034E6">
              <w:rPr>
                <w:rFonts w:asciiTheme="minorHAnsi" w:hAnsiTheme="minorHAnsi" w:cstheme="minorHAnsi"/>
                <w:sz w:val="20"/>
                <w:szCs w:val="20"/>
              </w:rPr>
              <w:t xml:space="preserve">               </w:t>
            </w:r>
            <w:r>
              <w:rPr>
                <w:rFonts w:asciiTheme="minorHAnsi" w:hAnsiTheme="minorHAnsi" w:cstheme="minorHAnsi"/>
                <w:sz w:val="20"/>
                <w:szCs w:val="20"/>
              </w:rPr>
              <w:t xml:space="preserve">  </w:t>
            </w:r>
            <w:r w:rsidR="006034E6">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3D5F0113" w14:textId="42526A9C" w:rsidR="00384814" w:rsidRPr="00816669" w:rsidRDefault="00196A7F" w:rsidP="004A2FEE">
            <w:pPr>
              <w:jc w:val="center"/>
              <w:rPr>
                <w:rFonts w:asciiTheme="minorHAnsi" w:hAnsiTheme="minorHAnsi" w:cstheme="minorHAnsi"/>
                <w:sz w:val="20"/>
                <w:szCs w:val="20"/>
              </w:rPr>
            </w:pPr>
            <w:r>
              <w:rPr>
                <w:rFonts w:asciiTheme="minorHAnsi" w:hAnsiTheme="minorHAnsi" w:cstheme="minorHAnsi"/>
                <w:sz w:val="20"/>
                <w:szCs w:val="20"/>
              </w:rPr>
              <w:t>Line 1</w:t>
            </w:r>
          </w:p>
        </w:tc>
      </w:tr>
      <w:tr w:rsidR="00384814" w:rsidRPr="00816669" w14:paraId="2106FEC9"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5780D37A"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19</w:t>
            </w:r>
          </w:p>
        </w:tc>
        <w:tc>
          <w:tcPr>
            <w:tcW w:w="3708" w:type="dxa"/>
            <w:tcBorders>
              <w:top w:val="single" w:sz="4" w:space="0" w:color="auto"/>
              <w:left w:val="single" w:sz="4" w:space="0" w:color="auto"/>
              <w:bottom w:val="single" w:sz="4" w:space="0" w:color="auto"/>
              <w:right w:val="single" w:sz="4" w:space="0" w:color="auto"/>
            </w:tcBorders>
            <w:vAlign w:val="center"/>
          </w:tcPr>
          <w:p w14:paraId="043DDC6C"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CET1: Other capital elements, </w:t>
            </w:r>
            <w:proofErr w:type="gramStart"/>
            <w:r w:rsidRPr="00816669">
              <w:rPr>
                <w:rFonts w:asciiTheme="minorHAnsi" w:hAnsiTheme="minorHAnsi" w:cstheme="minorHAnsi"/>
                <w:sz w:val="20"/>
                <w:szCs w:val="20"/>
              </w:rPr>
              <w:t>deductions</w:t>
            </w:r>
            <w:proofErr w:type="gramEnd"/>
            <w:r w:rsidRPr="00816669">
              <w:rPr>
                <w:rFonts w:asciiTheme="minorHAnsi" w:hAnsiTheme="minorHAnsi" w:cstheme="minorHAnsi"/>
                <w:sz w:val="20"/>
                <w:szCs w:val="20"/>
              </w:rPr>
              <w:t xml:space="preserve"> and adjustments</w:t>
            </w:r>
          </w:p>
        </w:tc>
        <w:tc>
          <w:tcPr>
            <w:tcW w:w="2368" w:type="dxa"/>
            <w:tcBorders>
              <w:top w:val="single" w:sz="4" w:space="0" w:color="auto"/>
              <w:left w:val="single" w:sz="4" w:space="0" w:color="auto"/>
              <w:bottom w:val="single" w:sz="4" w:space="0" w:color="auto"/>
              <w:right w:val="single" w:sz="4" w:space="0" w:color="auto"/>
            </w:tcBorders>
            <w:vAlign w:val="center"/>
          </w:tcPr>
          <w:p w14:paraId="543DC5CB"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60D9DD2D" w14:textId="77777777" w:rsidR="00384814" w:rsidRPr="00816669" w:rsidRDefault="00384814" w:rsidP="004A2FEE">
            <w:pPr>
              <w:jc w:val="center"/>
              <w:rPr>
                <w:rFonts w:asciiTheme="minorHAnsi" w:hAnsiTheme="minorHAnsi" w:cstheme="minorHAnsi"/>
                <w:sz w:val="20"/>
                <w:szCs w:val="20"/>
              </w:rPr>
            </w:pPr>
          </w:p>
        </w:tc>
      </w:tr>
      <w:tr w:rsidR="00384814" w:rsidRPr="00816669" w14:paraId="7285CA5B"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24692D07"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20</w:t>
            </w:r>
          </w:p>
        </w:tc>
        <w:tc>
          <w:tcPr>
            <w:tcW w:w="3708" w:type="dxa"/>
            <w:tcBorders>
              <w:top w:val="single" w:sz="4" w:space="0" w:color="auto"/>
              <w:left w:val="single" w:sz="4" w:space="0" w:color="auto"/>
              <w:bottom w:val="single" w:sz="4" w:space="0" w:color="auto"/>
              <w:right w:val="single" w:sz="4" w:space="0" w:color="auto"/>
            </w:tcBorders>
            <w:vAlign w:val="center"/>
          </w:tcPr>
          <w:p w14:paraId="71F12E5F"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ADDITIONAL TIER 1 CAPITAL</w:t>
            </w:r>
          </w:p>
        </w:tc>
        <w:tc>
          <w:tcPr>
            <w:tcW w:w="2368" w:type="dxa"/>
            <w:tcBorders>
              <w:top w:val="single" w:sz="4" w:space="0" w:color="auto"/>
              <w:left w:val="single" w:sz="4" w:space="0" w:color="auto"/>
              <w:bottom w:val="single" w:sz="4" w:space="0" w:color="auto"/>
              <w:right w:val="single" w:sz="4" w:space="0" w:color="auto"/>
            </w:tcBorders>
            <w:vAlign w:val="center"/>
          </w:tcPr>
          <w:p w14:paraId="4C8CE1A1"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3B8C5B6" w14:textId="77777777" w:rsidR="00384814" w:rsidRPr="00816669" w:rsidRDefault="00384814" w:rsidP="004A2FEE">
            <w:pPr>
              <w:jc w:val="center"/>
              <w:rPr>
                <w:rFonts w:asciiTheme="minorHAnsi" w:hAnsiTheme="minorHAnsi" w:cstheme="minorHAnsi"/>
                <w:sz w:val="20"/>
                <w:szCs w:val="20"/>
              </w:rPr>
            </w:pPr>
          </w:p>
        </w:tc>
      </w:tr>
      <w:tr w:rsidR="00384814" w:rsidRPr="00816669" w14:paraId="6F519D4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11B0ECD6"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21</w:t>
            </w:r>
          </w:p>
        </w:tc>
        <w:tc>
          <w:tcPr>
            <w:tcW w:w="3708" w:type="dxa"/>
            <w:tcBorders>
              <w:top w:val="single" w:sz="4" w:space="0" w:color="auto"/>
              <w:left w:val="single" w:sz="4" w:space="0" w:color="auto"/>
              <w:bottom w:val="single" w:sz="4" w:space="0" w:color="auto"/>
              <w:right w:val="single" w:sz="4" w:space="0" w:color="auto"/>
            </w:tcBorders>
            <w:vAlign w:val="center"/>
          </w:tcPr>
          <w:p w14:paraId="4B7A973F"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Fully paid up, directly issued capital instruments</w:t>
            </w:r>
          </w:p>
        </w:tc>
        <w:tc>
          <w:tcPr>
            <w:tcW w:w="2368" w:type="dxa"/>
            <w:tcBorders>
              <w:top w:val="single" w:sz="4" w:space="0" w:color="auto"/>
              <w:left w:val="single" w:sz="4" w:space="0" w:color="auto"/>
              <w:bottom w:val="single" w:sz="4" w:space="0" w:color="auto"/>
              <w:right w:val="single" w:sz="4" w:space="0" w:color="auto"/>
            </w:tcBorders>
            <w:vAlign w:val="center"/>
          </w:tcPr>
          <w:p w14:paraId="39092CFF"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300FF5B3" w14:textId="77777777" w:rsidR="00384814" w:rsidRPr="00816669" w:rsidRDefault="00384814" w:rsidP="004A2FEE">
            <w:pPr>
              <w:jc w:val="center"/>
              <w:rPr>
                <w:rFonts w:asciiTheme="minorHAnsi" w:hAnsiTheme="minorHAnsi" w:cstheme="minorHAnsi"/>
                <w:sz w:val="20"/>
                <w:szCs w:val="20"/>
              </w:rPr>
            </w:pPr>
          </w:p>
        </w:tc>
      </w:tr>
      <w:tr w:rsidR="00384814" w:rsidRPr="00816669" w14:paraId="75918168"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290CABE7"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22</w:t>
            </w:r>
          </w:p>
        </w:tc>
        <w:tc>
          <w:tcPr>
            <w:tcW w:w="3708" w:type="dxa"/>
            <w:tcBorders>
              <w:top w:val="single" w:sz="4" w:space="0" w:color="auto"/>
              <w:left w:val="single" w:sz="4" w:space="0" w:color="auto"/>
              <w:bottom w:val="single" w:sz="4" w:space="0" w:color="auto"/>
              <w:right w:val="single" w:sz="4" w:space="0" w:color="auto"/>
            </w:tcBorders>
            <w:vAlign w:val="center"/>
          </w:tcPr>
          <w:p w14:paraId="662B8C6A"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Share premium</w:t>
            </w:r>
          </w:p>
        </w:tc>
        <w:tc>
          <w:tcPr>
            <w:tcW w:w="2368" w:type="dxa"/>
            <w:tcBorders>
              <w:top w:val="single" w:sz="4" w:space="0" w:color="auto"/>
              <w:left w:val="single" w:sz="4" w:space="0" w:color="auto"/>
              <w:bottom w:val="single" w:sz="4" w:space="0" w:color="auto"/>
              <w:right w:val="single" w:sz="4" w:space="0" w:color="auto"/>
            </w:tcBorders>
            <w:vAlign w:val="center"/>
          </w:tcPr>
          <w:p w14:paraId="2FB6B3FF"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0F241049" w14:textId="77777777" w:rsidR="00384814" w:rsidRPr="00816669" w:rsidRDefault="00384814" w:rsidP="004A2FEE">
            <w:pPr>
              <w:jc w:val="center"/>
              <w:rPr>
                <w:rFonts w:asciiTheme="minorHAnsi" w:hAnsiTheme="minorHAnsi" w:cstheme="minorHAnsi"/>
                <w:sz w:val="20"/>
                <w:szCs w:val="20"/>
              </w:rPr>
            </w:pPr>
          </w:p>
        </w:tc>
      </w:tr>
      <w:tr w:rsidR="00384814" w:rsidRPr="00816669" w14:paraId="3F52B489"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6A1E5828"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23</w:t>
            </w:r>
          </w:p>
        </w:tc>
        <w:tc>
          <w:tcPr>
            <w:tcW w:w="3708" w:type="dxa"/>
            <w:tcBorders>
              <w:top w:val="single" w:sz="4" w:space="0" w:color="auto"/>
              <w:left w:val="single" w:sz="4" w:space="0" w:color="auto"/>
              <w:bottom w:val="single" w:sz="4" w:space="0" w:color="auto"/>
              <w:right w:val="single" w:sz="4" w:space="0" w:color="auto"/>
            </w:tcBorders>
            <w:vAlign w:val="center"/>
          </w:tcPr>
          <w:p w14:paraId="2928ED98"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TOTAL DEDUCTIONS FROM ADDITIONAL TIER 1</w:t>
            </w:r>
          </w:p>
        </w:tc>
        <w:tc>
          <w:tcPr>
            <w:tcW w:w="2368" w:type="dxa"/>
            <w:tcBorders>
              <w:top w:val="single" w:sz="4" w:space="0" w:color="auto"/>
              <w:left w:val="single" w:sz="4" w:space="0" w:color="auto"/>
              <w:bottom w:val="single" w:sz="4" w:space="0" w:color="auto"/>
              <w:right w:val="single" w:sz="4" w:space="0" w:color="auto"/>
            </w:tcBorders>
            <w:vAlign w:val="center"/>
          </w:tcPr>
          <w:p w14:paraId="222FABC0"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19DC9BD3" w14:textId="77777777" w:rsidR="00384814" w:rsidRPr="00816669" w:rsidRDefault="00384814" w:rsidP="004A2FEE">
            <w:pPr>
              <w:jc w:val="center"/>
              <w:rPr>
                <w:rFonts w:asciiTheme="minorHAnsi" w:hAnsiTheme="minorHAnsi" w:cstheme="minorHAnsi"/>
                <w:sz w:val="20"/>
                <w:szCs w:val="20"/>
              </w:rPr>
            </w:pPr>
          </w:p>
        </w:tc>
      </w:tr>
      <w:tr w:rsidR="00384814" w:rsidRPr="00816669" w14:paraId="5015ED32"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62E4BF2A"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24</w:t>
            </w:r>
          </w:p>
        </w:tc>
        <w:tc>
          <w:tcPr>
            <w:tcW w:w="3708" w:type="dxa"/>
            <w:tcBorders>
              <w:top w:val="single" w:sz="4" w:space="0" w:color="auto"/>
              <w:left w:val="single" w:sz="4" w:space="0" w:color="auto"/>
              <w:bottom w:val="single" w:sz="4" w:space="0" w:color="auto"/>
              <w:right w:val="single" w:sz="4" w:space="0" w:color="auto"/>
            </w:tcBorders>
            <w:vAlign w:val="center"/>
          </w:tcPr>
          <w:p w14:paraId="7C868E76"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Additional Tier 1: Other capital elements, </w:t>
            </w:r>
            <w:proofErr w:type="gramStart"/>
            <w:r w:rsidRPr="00816669">
              <w:rPr>
                <w:rFonts w:asciiTheme="minorHAnsi" w:hAnsiTheme="minorHAnsi" w:cstheme="minorHAnsi"/>
                <w:sz w:val="20"/>
                <w:szCs w:val="20"/>
              </w:rPr>
              <w:t>deductions</w:t>
            </w:r>
            <w:proofErr w:type="gramEnd"/>
            <w:r w:rsidRPr="00816669">
              <w:rPr>
                <w:rFonts w:asciiTheme="minorHAnsi" w:hAnsiTheme="minorHAnsi" w:cstheme="minorHAnsi"/>
                <w:sz w:val="20"/>
                <w:szCs w:val="20"/>
              </w:rPr>
              <w:t xml:space="preserve"> and adjustments</w:t>
            </w:r>
          </w:p>
        </w:tc>
        <w:tc>
          <w:tcPr>
            <w:tcW w:w="2368" w:type="dxa"/>
            <w:tcBorders>
              <w:top w:val="single" w:sz="4" w:space="0" w:color="auto"/>
              <w:left w:val="single" w:sz="4" w:space="0" w:color="auto"/>
              <w:bottom w:val="single" w:sz="4" w:space="0" w:color="auto"/>
              <w:right w:val="single" w:sz="4" w:space="0" w:color="auto"/>
            </w:tcBorders>
            <w:vAlign w:val="center"/>
          </w:tcPr>
          <w:p w14:paraId="51144DC3"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12F80649" w14:textId="77777777" w:rsidR="00384814" w:rsidRPr="00816669" w:rsidRDefault="00384814" w:rsidP="004A2FEE">
            <w:pPr>
              <w:jc w:val="center"/>
              <w:rPr>
                <w:rFonts w:asciiTheme="minorHAnsi" w:hAnsiTheme="minorHAnsi" w:cstheme="minorHAnsi"/>
                <w:sz w:val="20"/>
                <w:szCs w:val="20"/>
              </w:rPr>
            </w:pPr>
          </w:p>
        </w:tc>
      </w:tr>
      <w:tr w:rsidR="00384814" w:rsidRPr="00816669" w14:paraId="2B19811E"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7439665C"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25</w:t>
            </w:r>
          </w:p>
        </w:tc>
        <w:tc>
          <w:tcPr>
            <w:tcW w:w="3708" w:type="dxa"/>
            <w:tcBorders>
              <w:top w:val="single" w:sz="4" w:space="0" w:color="auto"/>
              <w:left w:val="single" w:sz="4" w:space="0" w:color="auto"/>
              <w:bottom w:val="single" w:sz="4" w:space="0" w:color="auto"/>
              <w:right w:val="single" w:sz="4" w:space="0" w:color="auto"/>
            </w:tcBorders>
            <w:vAlign w:val="center"/>
          </w:tcPr>
          <w:p w14:paraId="5918D766"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TIER 2 CAPITAL</w:t>
            </w:r>
          </w:p>
        </w:tc>
        <w:tc>
          <w:tcPr>
            <w:tcW w:w="2368" w:type="dxa"/>
            <w:tcBorders>
              <w:top w:val="single" w:sz="4" w:space="0" w:color="auto"/>
              <w:left w:val="single" w:sz="4" w:space="0" w:color="auto"/>
              <w:bottom w:val="single" w:sz="4" w:space="0" w:color="auto"/>
              <w:right w:val="single" w:sz="4" w:space="0" w:color="auto"/>
            </w:tcBorders>
            <w:vAlign w:val="center"/>
          </w:tcPr>
          <w:p w14:paraId="290C4730"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713BBD3" w14:textId="77777777" w:rsidR="00384814" w:rsidRPr="00816669" w:rsidRDefault="00384814" w:rsidP="004A2FEE">
            <w:pPr>
              <w:jc w:val="center"/>
              <w:rPr>
                <w:rFonts w:asciiTheme="minorHAnsi" w:hAnsiTheme="minorHAnsi" w:cstheme="minorHAnsi"/>
                <w:sz w:val="20"/>
                <w:szCs w:val="20"/>
              </w:rPr>
            </w:pPr>
          </w:p>
        </w:tc>
      </w:tr>
      <w:tr w:rsidR="00384814" w:rsidRPr="00816669" w14:paraId="7A286E65"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0C7B3238"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26</w:t>
            </w:r>
          </w:p>
        </w:tc>
        <w:tc>
          <w:tcPr>
            <w:tcW w:w="3708" w:type="dxa"/>
            <w:tcBorders>
              <w:top w:val="single" w:sz="4" w:space="0" w:color="auto"/>
              <w:left w:val="single" w:sz="4" w:space="0" w:color="auto"/>
              <w:bottom w:val="single" w:sz="4" w:space="0" w:color="auto"/>
              <w:right w:val="single" w:sz="4" w:space="0" w:color="auto"/>
            </w:tcBorders>
            <w:vAlign w:val="center"/>
          </w:tcPr>
          <w:p w14:paraId="6D424B68"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Fully paid up, directly issued capital instruments</w:t>
            </w:r>
          </w:p>
        </w:tc>
        <w:tc>
          <w:tcPr>
            <w:tcW w:w="2368" w:type="dxa"/>
            <w:tcBorders>
              <w:top w:val="single" w:sz="4" w:space="0" w:color="auto"/>
              <w:left w:val="single" w:sz="4" w:space="0" w:color="auto"/>
              <w:bottom w:val="single" w:sz="4" w:space="0" w:color="auto"/>
              <w:right w:val="single" w:sz="4" w:space="0" w:color="auto"/>
            </w:tcBorders>
            <w:vAlign w:val="center"/>
          </w:tcPr>
          <w:p w14:paraId="2353D669"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625536E9" w14:textId="77777777" w:rsidR="00384814" w:rsidRPr="00816669" w:rsidRDefault="00384814" w:rsidP="004A2FEE">
            <w:pPr>
              <w:jc w:val="center"/>
              <w:rPr>
                <w:rFonts w:asciiTheme="minorHAnsi" w:hAnsiTheme="minorHAnsi" w:cstheme="minorHAnsi"/>
                <w:sz w:val="20"/>
                <w:szCs w:val="20"/>
              </w:rPr>
            </w:pPr>
          </w:p>
        </w:tc>
      </w:tr>
      <w:tr w:rsidR="00384814" w:rsidRPr="00816669" w14:paraId="727359E3"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7C200C27"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27</w:t>
            </w:r>
          </w:p>
        </w:tc>
        <w:tc>
          <w:tcPr>
            <w:tcW w:w="3708" w:type="dxa"/>
            <w:tcBorders>
              <w:top w:val="single" w:sz="4" w:space="0" w:color="auto"/>
              <w:left w:val="single" w:sz="4" w:space="0" w:color="auto"/>
              <w:bottom w:val="single" w:sz="4" w:space="0" w:color="auto"/>
              <w:right w:val="single" w:sz="4" w:space="0" w:color="auto"/>
            </w:tcBorders>
            <w:vAlign w:val="center"/>
          </w:tcPr>
          <w:p w14:paraId="747F30EC"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Share premium</w:t>
            </w:r>
          </w:p>
        </w:tc>
        <w:tc>
          <w:tcPr>
            <w:tcW w:w="2368" w:type="dxa"/>
            <w:tcBorders>
              <w:top w:val="single" w:sz="4" w:space="0" w:color="auto"/>
              <w:left w:val="single" w:sz="4" w:space="0" w:color="auto"/>
              <w:bottom w:val="single" w:sz="4" w:space="0" w:color="auto"/>
              <w:right w:val="single" w:sz="4" w:space="0" w:color="auto"/>
            </w:tcBorders>
            <w:vAlign w:val="center"/>
          </w:tcPr>
          <w:p w14:paraId="4E84B835"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549BA770" w14:textId="77777777" w:rsidR="00384814" w:rsidRPr="00816669" w:rsidRDefault="00384814" w:rsidP="004A2FEE">
            <w:pPr>
              <w:jc w:val="center"/>
              <w:rPr>
                <w:rFonts w:asciiTheme="minorHAnsi" w:hAnsiTheme="minorHAnsi" w:cstheme="minorHAnsi"/>
                <w:sz w:val="20"/>
                <w:szCs w:val="20"/>
              </w:rPr>
            </w:pPr>
          </w:p>
        </w:tc>
      </w:tr>
      <w:tr w:rsidR="00384814" w:rsidRPr="00816669" w14:paraId="25014EC1"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4E4C5060"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28</w:t>
            </w:r>
          </w:p>
        </w:tc>
        <w:tc>
          <w:tcPr>
            <w:tcW w:w="3708" w:type="dxa"/>
            <w:tcBorders>
              <w:top w:val="single" w:sz="4" w:space="0" w:color="auto"/>
              <w:left w:val="single" w:sz="4" w:space="0" w:color="auto"/>
              <w:bottom w:val="single" w:sz="4" w:space="0" w:color="auto"/>
              <w:right w:val="single" w:sz="4" w:space="0" w:color="auto"/>
            </w:tcBorders>
            <w:vAlign w:val="center"/>
          </w:tcPr>
          <w:p w14:paraId="60B456E7"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TOTAL DEDUCTIONS FROM TIER 2</w:t>
            </w:r>
          </w:p>
        </w:tc>
        <w:tc>
          <w:tcPr>
            <w:tcW w:w="2368" w:type="dxa"/>
            <w:tcBorders>
              <w:top w:val="single" w:sz="4" w:space="0" w:color="auto"/>
              <w:left w:val="single" w:sz="4" w:space="0" w:color="auto"/>
              <w:bottom w:val="single" w:sz="4" w:space="0" w:color="auto"/>
              <w:right w:val="single" w:sz="4" w:space="0" w:color="auto"/>
            </w:tcBorders>
            <w:vAlign w:val="center"/>
          </w:tcPr>
          <w:p w14:paraId="0176C891"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44F924B0" w14:textId="77777777" w:rsidR="00384814" w:rsidRPr="00816669" w:rsidRDefault="00384814" w:rsidP="004A2FEE">
            <w:pPr>
              <w:jc w:val="center"/>
              <w:rPr>
                <w:rFonts w:asciiTheme="minorHAnsi" w:hAnsiTheme="minorHAnsi" w:cstheme="minorHAnsi"/>
                <w:sz w:val="20"/>
                <w:szCs w:val="20"/>
              </w:rPr>
            </w:pPr>
          </w:p>
        </w:tc>
      </w:tr>
      <w:tr w:rsidR="00384814" w:rsidRPr="00816669" w14:paraId="1C43377A" w14:textId="77777777" w:rsidTr="004A2FEE">
        <w:trPr>
          <w:trHeight w:val="454"/>
        </w:trPr>
        <w:tc>
          <w:tcPr>
            <w:tcW w:w="687" w:type="dxa"/>
            <w:tcBorders>
              <w:top w:val="single" w:sz="4" w:space="0" w:color="auto"/>
              <w:left w:val="single" w:sz="4" w:space="0" w:color="auto"/>
              <w:bottom w:val="single" w:sz="4" w:space="0" w:color="auto"/>
              <w:right w:val="single" w:sz="4" w:space="0" w:color="auto"/>
            </w:tcBorders>
            <w:vAlign w:val="center"/>
          </w:tcPr>
          <w:p w14:paraId="3E3706BF" w14:textId="77777777" w:rsidR="00384814" w:rsidRPr="00816669" w:rsidRDefault="00384814" w:rsidP="004A2FEE">
            <w:pPr>
              <w:jc w:val="center"/>
              <w:rPr>
                <w:rFonts w:asciiTheme="minorHAnsi" w:hAnsiTheme="minorHAnsi" w:cstheme="minorHAnsi"/>
                <w:sz w:val="22"/>
                <w:szCs w:val="22"/>
              </w:rPr>
            </w:pPr>
            <w:r w:rsidRPr="00816669">
              <w:rPr>
                <w:rFonts w:asciiTheme="minorHAnsi" w:hAnsiTheme="minorHAnsi" w:cstheme="minorHAnsi"/>
                <w:sz w:val="22"/>
                <w:szCs w:val="22"/>
              </w:rPr>
              <w:t>29</w:t>
            </w:r>
          </w:p>
        </w:tc>
        <w:tc>
          <w:tcPr>
            <w:tcW w:w="3708" w:type="dxa"/>
            <w:tcBorders>
              <w:top w:val="single" w:sz="4" w:space="0" w:color="auto"/>
              <w:left w:val="single" w:sz="4" w:space="0" w:color="auto"/>
              <w:bottom w:val="single" w:sz="4" w:space="0" w:color="auto"/>
              <w:right w:val="single" w:sz="4" w:space="0" w:color="auto"/>
            </w:tcBorders>
            <w:vAlign w:val="center"/>
          </w:tcPr>
          <w:p w14:paraId="600AB5E9" w14:textId="77777777" w:rsidR="00384814" w:rsidRPr="00816669" w:rsidRDefault="00384814" w:rsidP="004A2FEE">
            <w:pPr>
              <w:rPr>
                <w:rFonts w:asciiTheme="minorHAnsi" w:hAnsiTheme="minorHAnsi" w:cstheme="minorHAnsi"/>
                <w:sz w:val="20"/>
                <w:szCs w:val="20"/>
              </w:rPr>
            </w:pPr>
            <w:r w:rsidRPr="00816669">
              <w:rPr>
                <w:rFonts w:asciiTheme="minorHAnsi" w:hAnsiTheme="minorHAnsi" w:cstheme="minorHAnsi"/>
                <w:sz w:val="20"/>
                <w:szCs w:val="20"/>
              </w:rPr>
              <w:t xml:space="preserve">Tier 2: Other capital elements, </w:t>
            </w:r>
            <w:proofErr w:type="gramStart"/>
            <w:r w:rsidRPr="00816669">
              <w:rPr>
                <w:rFonts w:asciiTheme="minorHAnsi" w:hAnsiTheme="minorHAnsi" w:cstheme="minorHAnsi"/>
                <w:sz w:val="20"/>
                <w:szCs w:val="20"/>
              </w:rPr>
              <w:t>deductions</w:t>
            </w:r>
            <w:proofErr w:type="gramEnd"/>
            <w:r w:rsidRPr="00816669">
              <w:rPr>
                <w:rFonts w:asciiTheme="minorHAnsi" w:hAnsiTheme="minorHAnsi" w:cstheme="minorHAnsi"/>
                <w:sz w:val="20"/>
                <w:szCs w:val="20"/>
              </w:rPr>
              <w:t xml:space="preserve"> and adjustments</w:t>
            </w:r>
          </w:p>
        </w:tc>
        <w:tc>
          <w:tcPr>
            <w:tcW w:w="2368" w:type="dxa"/>
            <w:tcBorders>
              <w:top w:val="single" w:sz="4" w:space="0" w:color="auto"/>
              <w:left w:val="single" w:sz="4" w:space="0" w:color="auto"/>
              <w:bottom w:val="single" w:sz="4" w:space="0" w:color="auto"/>
              <w:right w:val="single" w:sz="4" w:space="0" w:color="auto"/>
            </w:tcBorders>
            <w:vAlign w:val="center"/>
          </w:tcPr>
          <w:p w14:paraId="15F19466" w14:textId="77777777" w:rsidR="00384814" w:rsidRPr="00816669" w:rsidRDefault="00384814" w:rsidP="004A2FEE">
            <w:pPr>
              <w:ind w:right="694"/>
              <w:jc w:val="right"/>
              <w:rPr>
                <w:rFonts w:asciiTheme="minorHAnsi" w:hAnsiTheme="minorHAnsi" w:cstheme="minorHAnsi"/>
                <w:sz w:val="20"/>
                <w:szCs w:val="20"/>
              </w:rPr>
            </w:pPr>
            <w:r w:rsidRPr="00816669">
              <w:rPr>
                <w:rFonts w:asciiTheme="minorHAnsi" w:hAnsiTheme="minorHAnsi" w:cstheme="minorHAnsi"/>
                <w:sz w:val="20"/>
                <w:szCs w:val="20"/>
              </w:rPr>
              <w:t>-</w:t>
            </w:r>
          </w:p>
        </w:tc>
        <w:tc>
          <w:tcPr>
            <w:tcW w:w="2257" w:type="dxa"/>
            <w:tcBorders>
              <w:top w:val="single" w:sz="4" w:space="0" w:color="auto"/>
              <w:left w:val="single" w:sz="4" w:space="0" w:color="auto"/>
              <w:bottom w:val="single" w:sz="4" w:space="0" w:color="auto"/>
              <w:right w:val="single" w:sz="4" w:space="0" w:color="auto"/>
            </w:tcBorders>
            <w:vAlign w:val="center"/>
          </w:tcPr>
          <w:p w14:paraId="6FD6BDFB" w14:textId="77777777" w:rsidR="00384814" w:rsidRPr="00816669" w:rsidRDefault="00384814" w:rsidP="004A2FEE">
            <w:pPr>
              <w:jc w:val="center"/>
              <w:rPr>
                <w:rFonts w:asciiTheme="minorHAnsi" w:hAnsiTheme="minorHAnsi" w:cstheme="minorHAnsi"/>
                <w:sz w:val="20"/>
                <w:szCs w:val="20"/>
              </w:rPr>
            </w:pPr>
          </w:p>
        </w:tc>
      </w:tr>
    </w:tbl>
    <w:p w14:paraId="7431D047" w14:textId="77777777" w:rsidR="00384814" w:rsidRPr="00816669" w:rsidRDefault="00384814" w:rsidP="000C04AE">
      <w:pPr>
        <w:pStyle w:val="BodyText"/>
        <w:spacing w:after="240"/>
        <w:ind w:right="-52"/>
        <w:jc w:val="both"/>
        <w:rPr>
          <w:rFonts w:asciiTheme="minorHAnsi" w:hAnsiTheme="minorHAnsi" w:cstheme="minorHAnsi"/>
          <w:szCs w:val="22"/>
        </w:rPr>
      </w:pPr>
    </w:p>
    <w:p w14:paraId="5C47FBD2" w14:textId="77777777" w:rsidR="000C04AE" w:rsidRPr="00816669" w:rsidRDefault="000C04AE" w:rsidP="000C04AE">
      <w:pPr>
        <w:rPr>
          <w:rFonts w:asciiTheme="minorHAnsi" w:eastAsiaTheme="majorEastAsia" w:hAnsiTheme="minorHAnsi" w:cstheme="majorBidi"/>
          <w:b/>
          <w:szCs w:val="32"/>
          <w:lang w:val="en-US" w:eastAsia="en-US"/>
        </w:rPr>
      </w:pPr>
      <w:r w:rsidRPr="00816669">
        <w:rPr>
          <w:rFonts w:asciiTheme="minorHAnsi" w:hAnsiTheme="minorHAnsi"/>
          <w:b/>
          <w:lang w:val="en-US"/>
        </w:rPr>
        <w:br w:type="page"/>
      </w:r>
    </w:p>
    <w:p w14:paraId="7FABF021" w14:textId="77777777" w:rsidR="000C04AE" w:rsidRPr="00816669" w:rsidRDefault="000C04AE" w:rsidP="00251F4F">
      <w:pPr>
        <w:pStyle w:val="BodyText"/>
        <w:spacing w:after="240"/>
        <w:ind w:right="-52"/>
        <w:jc w:val="both"/>
        <w:rPr>
          <w:rFonts w:asciiTheme="minorHAnsi" w:hAnsiTheme="minorHAnsi" w:cstheme="minorHAnsi"/>
          <w:szCs w:val="22"/>
        </w:rPr>
      </w:pPr>
    </w:p>
    <w:p w14:paraId="03637135" w14:textId="77777777" w:rsidR="003D41F6" w:rsidRPr="00816669" w:rsidRDefault="003D41F6" w:rsidP="003D41F6">
      <w:pPr>
        <w:pStyle w:val="Heading1"/>
        <w:numPr>
          <w:ilvl w:val="0"/>
          <w:numId w:val="8"/>
        </w:numPr>
        <w:tabs>
          <w:tab w:val="num" w:pos="1778"/>
        </w:tabs>
        <w:spacing w:after="240"/>
        <w:ind w:left="721" w:hanging="437"/>
        <w:rPr>
          <w:rFonts w:asciiTheme="minorHAnsi" w:hAnsiTheme="minorHAnsi"/>
          <w:b w:val="0"/>
          <w:color w:val="auto"/>
          <w:sz w:val="24"/>
          <w:lang w:val="en-US"/>
        </w:rPr>
      </w:pPr>
      <w:r w:rsidRPr="00816669">
        <w:rPr>
          <w:rFonts w:asciiTheme="minorHAnsi" w:hAnsiTheme="minorHAnsi"/>
          <w:color w:val="auto"/>
          <w:sz w:val="24"/>
          <w:lang w:val="en-US"/>
        </w:rPr>
        <w:t>OWN FUNDS REQUIREMENT (MIFIDPRU 8.5)</w:t>
      </w:r>
    </w:p>
    <w:p w14:paraId="18FAC032" w14:textId="77777777" w:rsidR="003D41F6" w:rsidRPr="00816669" w:rsidRDefault="003D41F6" w:rsidP="003D41F6">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The Firm’s own funds requirement is calculated in accordance with MIFIDPRU 4.3, which states that the Firm’s own funds requirement is the highest of:</w:t>
      </w:r>
    </w:p>
    <w:p w14:paraId="66ABEBA5" w14:textId="77777777" w:rsidR="003D41F6" w:rsidRPr="00816669" w:rsidRDefault="003D41F6" w:rsidP="003D41F6">
      <w:pPr>
        <w:pStyle w:val="BodyText"/>
        <w:widowControl w:val="0"/>
        <w:numPr>
          <w:ilvl w:val="0"/>
          <w:numId w:val="11"/>
        </w:numPr>
        <w:autoSpaceDE w:val="0"/>
        <w:autoSpaceDN w:val="0"/>
        <w:spacing w:after="240"/>
        <w:ind w:left="714" w:right="-52" w:hanging="357"/>
        <w:contextualSpacing/>
        <w:jc w:val="both"/>
        <w:rPr>
          <w:rFonts w:asciiTheme="minorHAnsi" w:hAnsiTheme="minorHAnsi" w:cstheme="minorHAnsi"/>
          <w:szCs w:val="22"/>
        </w:rPr>
      </w:pPr>
      <w:r w:rsidRPr="00816669">
        <w:rPr>
          <w:rFonts w:asciiTheme="minorHAnsi" w:hAnsiTheme="minorHAnsi" w:cstheme="minorHAnsi"/>
          <w:szCs w:val="22"/>
        </w:rPr>
        <w:t>its permanent minimum capital requirement under MIFIDPRU 4.4;</w:t>
      </w:r>
    </w:p>
    <w:p w14:paraId="6C7BFC98" w14:textId="77777777" w:rsidR="003D41F6" w:rsidRPr="00816669" w:rsidRDefault="003D41F6" w:rsidP="003D41F6">
      <w:pPr>
        <w:pStyle w:val="BodyText"/>
        <w:widowControl w:val="0"/>
        <w:numPr>
          <w:ilvl w:val="0"/>
          <w:numId w:val="11"/>
        </w:numPr>
        <w:autoSpaceDE w:val="0"/>
        <w:autoSpaceDN w:val="0"/>
        <w:spacing w:after="240"/>
        <w:ind w:left="714" w:right="-52" w:hanging="357"/>
        <w:contextualSpacing/>
        <w:jc w:val="both"/>
        <w:rPr>
          <w:rFonts w:asciiTheme="minorHAnsi" w:hAnsiTheme="minorHAnsi" w:cstheme="minorHAnsi"/>
          <w:szCs w:val="22"/>
        </w:rPr>
      </w:pPr>
      <w:r w:rsidRPr="00816669">
        <w:rPr>
          <w:rFonts w:asciiTheme="minorHAnsi" w:hAnsiTheme="minorHAnsi" w:cstheme="minorHAnsi"/>
          <w:szCs w:val="22"/>
        </w:rPr>
        <w:t>its fixed overheads requirement under MIFIDPRU 4.5; and</w:t>
      </w:r>
    </w:p>
    <w:p w14:paraId="6B964362" w14:textId="77777777" w:rsidR="003D41F6" w:rsidRPr="00816669" w:rsidRDefault="003D41F6" w:rsidP="003D41F6">
      <w:pPr>
        <w:pStyle w:val="BodyText"/>
        <w:widowControl w:val="0"/>
        <w:numPr>
          <w:ilvl w:val="0"/>
          <w:numId w:val="11"/>
        </w:numPr>
        <w:autoSpaceDE w:val="0"/>
        <w:autoSpaceDN w:val="0"/>
        <w:spacing w:after="240"/>
        <w:ind w:right="-52"/>
        <w:jc w:val="both"/>
        <w:rPr>
          <w:rFonts w:asciiTheme="minorHAnsi" w:hAnsiTheme="minorHAnsi" w:cstheme="minorHAnsi"/>
          <w:szCs w:val="22"/>
        </w:rPr>
      </w:pPr>
      <w:r w:rsidRPr="00816669">
        <w:rPr>
          <w:rFonts w:asciiTheme="minorHAnsi" w:hAnsiTheme="minorHAnsi" w:cstheme="minorHAnsi"/>
          <w:szCs w:val="22"/>
        </w:rPr>
        <w:t>its K-factor requirement under MIFIDPRU 4.6</w:t>
      </w:r>
    </w:p>
    <w:p w14:paraId="7EA403A7" w14:textId="77777777" w:rsidR="003D41F6" w:rsidRPr="00816669" w:rsidRDefault="003D41F6" w:rsidP="003D41F6">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A summary of these requirements for the year commencing January 2023 is shown within the table below.</w:t>
      </w:r>
    </w:p>
    <w:tbl>
      <w:tblPr>
        <w:tblStyle w:val="TableGrid"/>
        <w:tblW w:w="9356" w:type="dxa"/>
        <w:tblInd w:w="-147" w:type="dxa"/>
        <w:tblLook w:val="04A0" w:firstRow="1" w:lastRow="0" w:firstColumn="1" w:lastColumn="0" w:noHBand="0" w:noVBand="1"/>
      </w:tblPr>
      <w:tblGrid>
        <w:gridCol w:w="6663"/>
        <w:gridCol w:w="2693"/>
      </w:tblGrid>
      <w:tr w:rsidR="003D41F6" w:rsidRPr="00816669" w14:paraId="1C406EF2" w14:textId="77777777" w:rsidTr="00F75B45">
        <w:trPr>
          <w:trHeight w:val="459"/>
        </w:trPr>
        <w:tc>
          <w:tcPr>
            <w:tcW w:w="6663" w:type="dxa"/>
            <w:shd w:val="clear" w:color="auto" w:fill="000000" w:themeFill="text1"/>
            <w:vAlign w:val="bottom"/>
          </w:tcPr>
          <w:p w14:paraId="752D2403" w14:textId="77777777" w:rsidR="003D41F6" w:rsidRPr="00816669" w:rsidRDefault="003D41F6" w:rsidP="004A2FEE">
            <w:pPr>
              <w:ind w:right="601"/>
              <w:rPr>
                <w:rFonts w:asciiTheme="minorHAnsi" w:hAnsiTheme="minorHAnsi" w:cstheme="minorHAnsi"/>
                <w:b/>
                <w:bCs/>
                <w:sz w:val="20"/>
                <w:szCs w:val="20"/>
              </w:rPr>
            </w:pPr>
            <w:r w:rsidRPr="00816669">
              <w:rPr>
                <w:rFonts w:asciiTheme="minorHAnsi" w:hAnsiTheme="minorHAnsi" w:cstheme="minorHAnsi"/>
                <w:b/>
                <w:bCs/>
                <w:sz w:val="22"/>
                <w:szCs w:val="22"/>
              </w:rPr>
              <w:t>Details</w:t>
            </w:r>
          </w:p>
        </w:tc>
        <w:tc>
          <w:tcPr>
            <w:tcW w:w="2693" w:type="dxa"/>
            <w:shd w:val="clear" w:color="auto" w:fill="000000" w:themeFill="text1"/>
            <w:vAlign w:val="bottom"/>
          </w:tcPr>
          <w:p w14:paraId="5FCB7B27" w14:textId="6FED089F" w:rsidR="003D41F6" w:rsidRPr="00816669" w:rsidRDefault="003D41F6" w:rsidP="004A2FEE">
            <w:pPr>
              <w:jc w:val="right"/>
              <w:rPr>
                <w:rFonts w:asciiTheme="minorHAnsi" w:hAnsiTheme="minorHAnsi" w:cstheme="minorHAnsi"/>
                <w:b/>
                <w:bCs/>
                <w:sz w:val="20"/>
                <w:szCs w:val="20"/>
              </w:rPr>
            </w:pPr>
            <w:r w:rsidRPr="00816669">
              <w:rPr>
                <w:rFonts w:asciiTheme="minorHAnsi" w:hAnsiTheme="minorHAnsi" w:cstheme="minorHAnsi"/>
                <w:b/>
                <w:bCs/>
                <w:sz w:val="22"/>
                <w:szCs w:val="22"/>
              </w:rPr>
              <w:t>Amount (GBP)</w:t>
            </w:r>
          </w:p>
        </w:tc>
      </w:tr>
      <w:tr w:rsidR="003D41F6" w:rsidRPr="00816669" w14:paraId="2150F66E" w14:textId="77777777" w:rsidTr="00F75B45">
        <w:trPr>
          <w:trHeight w:val="459"/>
        </w:trPr>
        <w:tc>
          <w:tcPr>
            <w:tcW w:w="6663" w:type="dxa"/>
            <w:vAlign w:val="center"/>
          </w:tcPr>
          <w:p w14:paraId="6EED0357"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Transitional Requirement under MIFIDPRU TP 2.18R (3)(a)(ii)</w:t>
            </w:r>
          </w:p>
        </w:tc>
        <w:tc>
          <w:tcPr>
            <w:tcW w:w="2693" w:type="dxa"/>
            <w:vAlign w:val="center"/>
          </w:tcPr>
          <w:p w14:paraId="15A6211C" w14:textId="75125BE4" w:rsidR="003D41F6" w:rsidRPr="00816669" w:rsidRDefault="00DF5E33" w:rsidP="00DF5E33">
            <w:pPr>
              <w:ind w:right="544"/>
              <w:rPr>
                <w:rFonts w:asciiTheme="minorHAnsi" w:hAnsiTheme="minorHAnsi" w:cstheme="minorHAnsi"/>
                <w:sz w:val="20"/>
                <w:szCs w:val="20"/>
              </w:rPr>
            </w:pPr>
            <w:r>
              <w:rPr>
                <w:rFonts w:asciiTheme="minorHAnsi" w:hAnsiTheme="minorHAnsi" w:cstheme="minorHAnsi"/>
                <w:sz w:val="20"/>
                <w:szCs w:val="20"/>
              </w:rPr>
              <w:t>-</w:t>
            </w:r>
          </w:p>
        </w:tc>
      </w:tr>
      <w:tr w:rsidR="003D41F6" w:rsidRPr="00816669" w14:paraId="2B580E60" w14:textId="77777777" w:rsidTr="00F75B45">
        <w:trPr>
          <w:trHeight w:val="459"/>
        </w:trPr>
        <w:tc>
          <w:tcPr>
            <w:tcW w:w="6663" w:type="dxa"/>
            <w:vAlign w:val="center"/>
          </w:tcPr>
          <w:p w14:paraId="3A0AA9D6" w14:textId="77777777" w:rsidR="003D41F6" w:rsidRPr="00816669" w:rsidRDefault="003D41F6" w:rsidP="004A2FEE">
            <w:pPr>
              <w:rPr>
                <w:rFonts w:asciiTheme="minorHAnsi" w:hAnsiTheme="minorHAnsi" w:cstheme="minorHAnsi"/>
                <w:sz w:val="20"/>
                <w:szCs w:val="20"/>
              </w:rPr>
            </w:pPr>
            <w:r w:rsidRPr="00816669">
              <w:rPr>
                <w:rFonts w:asciiTheme="minorHAnsi" w:hAnsiTheme="minorHAnsi" w:cstheme="minorHAnsi"/>
                <w:sz w:val="22"/>
                <w:szCs w:val="22"/>
              </w:rPr>
              <w:t>Fixed overheads requirement (FOR)</w:t>
            </w:r>
          </w:p>
        </w:tc>
        <w:tc>
          <w:tcPr>
            <w:tcW w:w="2693" w:type="dxa"/>
            <w:vAlign w:val="center"/>
          </w:tcPr>
          <w:p w14:paraId="46224258" w14:textId="371A14FC" w:rsidR="003D41F6" w:rsidRPr="00816669" w:rsidRDefault="00F75B45" w:rsidP="00F75B45">
            <w:pPr>
              <w:ind w:right="544"/>
              <w:rPr>
                <w:rFonts w:asciiTheme="minorHAnsi" w:hAnsiTheme="minorHAnsi" w:cstheme="minorHAnsi"/>
                <w:sz w:val="20"/>
                <w:szCs w:val="20"/>
              </w:rPr>
            </w:pPr>
            <w:r>
              <w:rPr>
                <w:rFonts w:asciiTheme="minorHAnsi" w:hAnsiTheme="minorHAnsi" w:cstheme="minorHAnsi"/>
                <w:sz w:val="20"/>
                <w:szCs w:val="20"/>
              </w:rPr>
              <w:t>£1,8</w:t>
            </w:r>
            <w:r w:rsidR="00CE7514">
              <w:rPr>
                <w:rFonts w:asciiTheme="minorHAnsi" w:hAnsiTheme="minorHAnsi" w:cstheme="minorHAnsi"/>
                <w:sz w:val="20"/>
                <w:szCs w:val="20"/>
              </w:rPr>
              <w:t>94,000</w:t>
            </w:r>
          </w:p>
        </w:tc>
      </w:tr>
      <w:tr w:rsidR="003D41F6" w:rsidRPr="00816669" w14:paraId="1A843363" w14:textId="77777777" w:rsidTr="00F75B45">
        <w:trPr>
          <w:trHeight w:val="459"/>
        </w:trPr>
        <w:tc>
          <w:tcPr>
            <w:tcW w:w="6663" w:type="dxa"/>
            <w:vAlign w:val="center"/>
          </w:tcPr>
          <w:p w14:paraId="6C2C3BA2"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K-factor requirement:</w:t>
            </w:r>
          </w:p>
        </w:tc>
        <w:tc>
          <w:tcPr>
            <w:tcW w:w="2693" w:type="dxa"/>
            <w:vAlign w:val="center"/>
          </w:tcPr>
          <w:p w14:paraId="77F8AFFB" w14:textId="77777777" w:rsidR="003D41F6" w:rsidRPr="00816669" w:rsidRDefault="003D41F6" w:rsidP="004A2FEE">
            <w:pPr>
              <w:ind w:right="544"/>
              <w:jc w:val="right"/>
              <w:rPr>
                <w:rFonts w:asciiTheme="minorHAnsi" w:hAnsiTheme="minorHAnsi" w:cstheme="minorHAnsi"/>
                <w:sz w:val="20"/>
                <w:szCs w:val="20"/>
              </w:rPr>
            </w:pPr>
          </w:p>
        </w:tc>
      </w:tr>
      <w:tr w:rsidR="003D41F6" w:rsidRPr="00816669" w14:paraId="185B778A" w14:textId="77777777" w:rsidTr="00F75B45">
        <w:trPr>
          <w:trHeight w:val="459"/>
        </w:trPr>
        <w:tc>
          <w:tcPr>
            <w:tcW w:w="6663" w:type="dxa"/>
            <w:vAlign w:val="center"/>
          </w:tcPr>
          <w:p w14:paraId="5CB4128A"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 xml:space="preserve"> - K-AUM, K-CMH and K-ASA</w:t>
            </w:r>
          </w:p>
        </w:tc>
        <w:tc>
          <w:tcPr>
            <w:tcW w:w="2693" w:type="dxa"/>
            <w:vAlign w:val="center"/>
          </w:tcPr>
          <w:p w14:paraId="35C37573" w14:textId="78B511CE" w:rsidR="003D41F6" w:rsidRDefault="003D41F6" w:rsidP="003D41F6">
            <w:pPr>
              <w:ind w:right="544"/>
              <w:rPr>
                <w:rFonts w:asciiTheme="minorHAnsi" w:hAnsiTheme="minorHAnsi" w:cstheme="minorHAnsi"/>
                <w:sz w:val="20"/>
                <w:szCs w:val="20"/>
              </w:rPr>
            </w:pPr>
            <w:r>
              <w:rPr>
                <w:rFonts w:asciiTheme="minorHAnsi" w:hAnsiTheme="minorHAnsi" w:cstheme="minorHAnsi"/>
                <w:sz w:val="20"/>
                <w:szCs w:val="20"/>
              </w:rPr>
              <w:t>K-AUM: £</w:t>
            </w:r>
            <w:r w:rsidR="00CE7514">
              <w:rPr>
                <w:rFonts w:asciiTheme="minorHAnsi" w:hAnsiTheme="minorHAnsi" w:cstheme="minorHAnsi"/>
                <w:sz w:val="20"/>
                <w:szCs w:val="20"/>
              </w:rPr>
              <w:t>296.27</w:t>
            </w:r>
          </w:p>
          <w:p w14:paraId="3B91F6DD" w14:textId="292A85F3" w:rsidR="003D41F6" w:rsidRDefault="003D41F6" w:rsidP="003D41F6">
            <w:pPr>
              <w:ind w:right="544"/>
              <w:rPr>
                <w:rFonts w:asciiTheme="minorHAnsi" w:hAnsiTheme="minorHAnsi" w:cstheme="minorHAnsi"/>
                <w:sz w:val="20"/>
                <w:szCs w:val="20"/>
              </w:rPr>
            </w:pPr>
            <w:r>
              <w:rPr>
                <w:rFonts w:asciiTheme="minorHAnsi" w:hAnsiTheme="minorHAnsi" w:cstheme="minorHAnsi"/>
                <w:sz w:val="20"/>
                <w:szCs w:val="20"/>
              </w:rPr>
              <w:t>K-</w:t>
            </w:r>
            <w:proofErr w:type="gramStart"/>
            <w:r>
              <w:rPr>
                <w:rFonts w:asciiTheme="minorHAnsi" w:hAnsiTheme="minorHAnsi" w:cstheme="minorHAnsi"/>
                <w:sz w:val="20"/>
                <w:szCs w:val="20"/>
              </w:rPr>
              <w:t>CMH:£</w:t>
            </w:r>
            <w:proofErr w:type="gramEnd"/>
            <w:r w:rsidR="00CE7514">
              <w:rPr>
                <w:rFonts w:asciiTheme="minorHAnsi" w:hAnsiTheme="minorHAnsi" w:cstheme="minorHAnsi"/>
                <w:sz w:val="20"/>
                <w:szCs w:val="20"/>
              </w:rPr>
              <w:t>193,055.69</w:t>
            </w:r>
          </w:p>
          <w:p w14:paraId="012001A6" w14:textId="4426F979" w:rsidR="003D41F6" w:rsidRDefault="003D41F6" w:rsidP="003D41F6">
            <w:pPr>
              <w:ind w:right="544"/>
              <w:rPr>
                <w:rFonts w:asciiTheme="minorHAnsi" w:hAnsiTheme="minorHAnsi" w:cstheme="minorHAnsi"/>
                <w:sz w:val="20"/>
                <w:szCs w:val="20"/>
              </w:rPr>
            </w:pPr>
            <w:r>
              <w:rPr>
                <w:rFonts w:asciiTheme="minorHAnsi" w:hAnsiTheme="minorHAnsi" w:cstheme="minorHAnsi"/>
                <w:sz w:val="20"/>
                <w:szCs w:val="20"/>
              </w:rPr>
              <w:t>K-ASA: £18</w:t>
            </w:r>
            <w:r w:rsidR="00CE7514">
              <w:rPr>
                <w:rFonts w:asciiTheme="minorHAnsi" w:hAnsiTheme="minorHAnsi" w:cstheme="minorHAnsi"/>
                <w:sz w:val="20"/>
                <w:szCs w:val="20"/>
              </w:rPr>
              <w:t>0,135.85</w:t>
            </w:r>
          </w:p>
          <w:p w14:paraId="03380D1B" w14:textId="7AC369EC" w:rsidR="003D41F6" w:rsidRPr="00816669" w:rsidRDefault="003D41F6" w:rsidP="004A2FEE">
            <w:pPr>
              <w:ind w:right="544"/>
              <w:jc w:val="right"/>
              <w:rPr>
                <w:rFonts w:asciiTheme="minorHAnsi" w:hAnsiTheme="minorHAnsi" w:cstheme="minorHAnsi"/>
                <w:sz w:val="20"/>
                <w:szCs w:val="20"/>
              </w:rPr>
            </w:pPr>
          </w:p>
        </w:tc>
      </w:tr>
      <w:tr w:rsidR="003D41F6" w:rsidRPr="00816669" w14:paraId="3891F34C" w14:textId="77777777" w:rsidTr="00F75B45">
        <w:trPr>
          <w:trHeight w:val="459"/>
        </w:trPr>
        <w:tc>
          <w:tcPr>
            <w:tcW w:w="6663" w:type="dxa"/>
            <w:vAlign w:val="center"/>
          </w:tcPr>
          <w:p w14:paraId="08059B7E"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 xml:space="preserve"> - K-COH and K-DTF</w:t>
            </w:r>
          </w:p>
        </w:tc>
        <w:tc>
          <w:tcPr>
            <w:tcW w:w="2693" w:type="dxa"/>
            <w:vAlign w:val="center"/>
          </w:tcPr>
          <w:p w14:paraId="177DD3A6" w14:textId="4E7724DD" w:rsidR="00F75B45" w:rsidRDefault="003D41F6" w:rsidP="003D41F6">
            <w:pPr>
              <w:ind w:right="544"/>
              <w:rPr>
                <w:rFonts w:asciiTheme="minorHAnsi" w:hAnsiTheme="minorHAnsi" w:cstheme="minorHAnsi"/>
                <w:sz w:val="20"/>
                <w:szCs w:val="20"/>
              </w:rPr>
            </w:pPr>
            <w:r>
              <w:rPr>
                <w:rFonts w:asciiTheme="minorHAnsi" w:hAnsiTheme="minorHAnsi" w:cstheme="minorHAnsi"/>
                <w:sz w:val="20"/>
                <w:szCs w:val="20"/>
              </w:rPr>
              <w:t xml:space="preserve"> K-COH: Not</w:t>
            </w:r>
            <w:r w:rsidR="00F75B45">
              <w:rPr>
                <w:rFonts w:asciiTheme="minorHAnsi" w:hAnsiTheme="minorHAnsi" w:cstheme="minorHAnsi"/>
                <w:sz w:val="20"/>
                <w:szCs w:val="20"/>
              </w:rPr>
              <w:t xml:space="preserve"> </w:t>
            </w:r>
            <w:r>
              <w:rPr>
                <w:rFonts w:asciiTheme="minorHAnsi" w:hAnsiTheme="minorHAnsi" w:cstheme="minorHAnsi"/>
                <w:sz w:val="20"/>
                <w:szCs w:val="20"/>
              </w:rPr>
              <w:t>applicable</w:t>
            </w:r>
          </w:p>
          <w:p w14:paraId="5A2AD749" w14:textId="34B1F7E2" w:rsidR="003D41F6" w:rsidRPr="00816669" w:rsidRDefault="003D41F6" w:rsidP="003D41F6">
            <w:pPr>
              <w:ind w:right="544"/>
              <w:rPr>
                <w:rFonts w:asciiTheme="minorHAnsi" w:hAnsiTheme="minorHAnsi" w:cstheme="minorHAnsi"/>
                <w:sz w:val="20"/>
                <w:szCs w:val="20"/>
              </w:rPr>
            </w:pPr>
            <w:r>
              <w:rPr>
                <w:rFonts w:asciiTheme="minorHAnsi" w:hAnsiTheme="minorHAnsi" w:cstheme="minorHAnsi"/>
                <w:sz w:val="20"/>
                <w:szCs w:val="20"/>
              </w:rPr>
              <w:t xml:space="preserve"> K-DTF: £</w:t>
            </w:r>
            <w:r w:rsidR="00CE7514">
              <w:rPr>
                <w:rFonts w:asciiTheme="minorHAnsi" w:hAnsiTheme="minorHAnsi" w:cstheme="minorHAnsi"/>
                <w:sz w:val="20"/>
                <w:szCs w:val="20"/>
              </w:rPr>
              <w:t>119,687.09</w:t>
            </w:r>
          </w:p>
        </w:tc>
      </w:tr>
      <w:tr w:rsidR="003D41F6" w:rsidRPr="00816669" w14:paraId="24060712" w14:textId="77777777" w:rsidTr="00F75B45">
        <w:trPr>
          <w:trHeight w:val="459"/>
        </w:trPr>
        <w:tc>
          <w:tcPr>
            <w:tcW w:w="6663" w:type="dxa"/>
            <w:vAlign w:val="center"/>
          </w:tcPr>
          <w:p w14:paraId="4D150D71" w14:textId="77777777" w:rsidR="003D41F6" w:rsidRPr="00816669" w:rsidRDefault="003D41F6" w:rsidP="004A2FEE">
            <w:pPr>
              <w:rPr>
                <w:rFonts w:asciiTheme="minorHAnsi" w:hAnsiTheme="minorHAnsi" w:cstheme="minorHAnsi"/>
                <w:sz w:val="20"/>
                <w:szCs w:val="20"/>
              </w:rPr>
            </w:pPr>
            <w:r w:rsidRPr="00816669">
              <w:rPr>
                <w:rFonts w:asciiTheme="minorHAnsi" w:hAnsiTheme="minorHAnsi" w:cstheme="minorHAnsi"/>
                <w:sz w:val="22"/>
                <w:szCs w:val="22"/>
              </w:rPr>
              <w:t>K-factor total</w:t>
            </w:r>
          </w:p>
        </w:tc>
        <w:tc>
          <w:tcPr>
            <w:tcW w:w="2693" w:type="dxa"/>
            <w:vAlign w:val="center"/>
          </w:tcPr>
          <w:p w14:paraId="3BB18347" w14:textId="2AE73BE0" w:rsidR="003D41F6" w:rsidRPr="00816669" w:rsidRDefault="00F75B45" w:rsidP="00F75B45">
            <w:pPr>
              <w:ind w:right="544"/>
              <w:rPr>
                <w:rFonts w:asciiTheme="minorHAnsi" w:hAnsiTheme="minorHAnsi" w:cstheme="minorHAnsi"/>
                <w:sz w:val="20"/>
                <w:szCs w:val="20"/>
              </w:rPr>
            </w:pPr>
            <w:r>
              <w:rPr>
                <w:rFonts w:asciiTheme="minorHAnsi" w:hAnsiTheme="minorHAnsi" w:cstheme="minorHAnsi"/>
                <w:sz w:val="20"/>
                <w:szCs w:val="20"/>
              </w:rPr>
              <w:t>£</w:t>
            </w:r>
            <w:r w:rsidR="00CE7514">
              <w:rPr>
                <w:rFonts w:asciiTheme="minorHAnsi" w:hAnsiTheme="minorHAnsi" w:cstheme="minorHAnsi"/>
                <w:sz w:val="20"/>
                <w:szCs w:val="20"/>
              </w:rPr>
              <w:t>493,206.05</w:t>
            </w:r>
          </w:p>
        </w:tc>
      </w:tr>
      <w:tr w:rsidR="003D41F6" w:rsidRPr="00816669" w14:paraId="61200F2A" w14:textId="77777777" w:rsidTr="00F75B45">
        <w:trPr>
          <w:trHeight w:val="642"/>
        </w:trPr>
        <w:tc>
          <w:tcPr>
            <w:tcW w:w="6663" w:type="dxa"/>
          </w:tcPr>
          <w:p w14:paraId="164A13EF" w14:textId="77777777" w:rsidR="003D41F6" w:rsidRPr="00816669" w:rsidRDefault="003D41F6" w:rsidP="004A2FEE">
            <w:pPr>
              <w:pStyle w:val="BodyText"/>
              <w:ind w:right="-52"/>
              <w:contextualSpacing/>
              <w:jc w:val="both"/>
              <w:rPr>
                <w:rFonts w:asciiTheme="minorHAnsi" w:hAnsiTheme="minorHAnsi" w:cstheme="minorHAnsi"/>
                <w:b/>
                <w:bCs/>
                <w:szCs w:val="22"/>
              </w:rPr>
            </w:pPr>
            <w:r w:rsidRPr="00816669">
              <w:rPr>
                <w:rFonts w:asciiTheme="minorHAnsi" w:hAnsiTheme="minorHAnsi" w:cstheme="minorHAnsi"/>
                <w:b/>
                <w:bCs/>
                <w:szCs w:val="22"/>
              </w:rPr>
              <w:t xml:space="preserve">Own Funds Requirement </w:t>
            </w:r>
          </w:p>
          <w:p w14:paraId="32EB7BDC" w14:textId="77777777" w:rsidR="003D41F6" w:rsidRPr="00816669" w:rsidRDefault="003D41F6" w:rsidP="004A2FEE">
            <w:pPr>
              <w:rPr>
                <w:rFonts w:asciiTheme="minorHAnsi" w:hAnsiTheme="minorHAnsi" w:cstheme="minorHAnsi"/>
                <w:b/>
                <w:sz w:val="20"/>
                <w:szCs w:val="20"/>
              </w:rPr>
            </w:pPr>
            <w:r w:rsidRPr="00816669">
              <w:rPr>
                <w:rFonts w:asciiTheme="minorHAnsi" w:hAnsiTheme="minorHAnsi" w:cstheme="minorHAnsi"/>
                <w:sz w:val="22"/>
                <w:szCs w:val="22"/>
              </w:rPr>
              <w:t>(maximum of PMR, FOR and K-factor total)</w:t>
            </w:r>
          </w:p>
        </w:tc>
        <w:tc>
          <w:tcPr>
            <w:tcW w:w="2693" w:type="dxa"/>
            <w:vAlign w:val="center"/>
          </w:tcPr>
          <w:p w14:paraId="0EFB7E11" w14:textId="6F5E8063" w:rsidR="003D41F6" w:rsidRPr="00816669" w:rsidRDefault="003F0A40" w:rsidP="00AF3C4F">
            <w:pPr>
              <w:ind w:right="544"/>
              <w:rPr>
                <w:rFonts w:asciiTheme="minorHAnsi" w:hAnsiTheme="minorHAnsi" w:cstheme="minorHAnsi"/>
                <w:sz w:val="20"/>
                <w:szCs w:val="20"/>
              </w:rPr>
            </w:pPr>
            <w:r>
              <w:rPr>
                <w:rFonts w:asciiTheme="minorHAnsi" w:hAnsiTheme="minorHAnsi" w:cstheme="minorHAnsi"/>
                <w:sz w:val="20"/>
                <w:szCs w:val="20"/>
              </w:rPr>
              <w:t>£1,894,000</w:t>
            </w:r>
          </w:p>
        </w:tc>
      </w:tr>
    </w:tbl>
    <w:p w14:paraId="25F2B8EB" w14:textId="5CB2CC88" w:rsidR="003D41F6" w:rsidRPr="00816669" w:rsidRDefault="0007406F" w:rsidP="003D41F6">
      <w:pPr>
        <w:pStyle w:val="BodyText"/>
        <w:spacing w:before="240" w:after="240"/>
        <w:ind w:right="-51"/>
        <w:jc w:val="both"/>
        <w:rPr>
          <w:rFonts w:asciiTheme="minorHAnsi" w:hAnsiTheme="minorHAnsi" w:cstheme="minorHAnsi"/>
          <w:szCs w:val="22"/>
        </w:rPr>
      </w:pPr>
      <w:r>
        <w:rPr>
          <w:rFonts w:asciiTheme="minorHAnsi" w:hAnsiTheme="minorHAnsi" w:cstheme="minorHAnsi"/>
          <w:szCs w:val="22"/>
        </w:rPr>
        <w:t>Linear</w:t>
      </w:r>
      <w:r w:rsidR="003D41F6" w:rsidRPr="00816669">
        <w:rPr>
          <w:rFonts w:asciiTheme="minorHAnsi" w:hAnsiTheme="minorHAnsi" w:cstheme="minorHAnsi"/>
          <w:szCs w:val="22"/>
        </w:rPr>
        <w:t xml:space="preserve"> assesses the adequacy of its own funds in accordance with the prescribed permanent minimum capital, fixed overheads and total of the applicable K-factor requirements. In addition, the Firm undertakes an assessment of own funds requirements through its Internal Capital Adequacy and Risk Assessment and other internal processes to identify additional own funds requirements of the Firm as a result of:</w:t>
      </w:r>
    </w:p>
    <w:p w14:paraId="6BACD01B" w14:textId="77777777" w:rsidR="003D41F6" w:rsidRPr="00816669" w:rsidRDefault="003D41F6" w:rsidP="003D41F6">
      <w:pPr>
        <w:pStyle w:val="BodyText"/>
        <w:widowControl w:val="0"/>
        <w:numPr>
          <w:ilvl w:val="0"/>
          <w:numId w:val="11"/>
        </w:numPr>
        <w:autoSpaceDE w:val="0"/>
        <w:autoSpaceDN w:val="0"/>
        <w:spacing w:after="240"/>
        <w:ind w:left="714" w:right="-52" w:hanging="357"/>
        <w:contextualSpacing/>
        <w:jc w:val="both"/>
        <w:rPr>
          <w:rFonts w:asciiTheme="minorHAnsi" w:hAnsiTheme="minorHAnsi" w:cstheme="minorHAnsi"/>
          <w:szCs w:val="22"/>
        </w:rPr>
      </w:pPr>
      <w:r w:rsidRPr="00816669">
        <w:rPr>
          <w:rFonts w:asciiTheme="minorHAnsi" w:hAnsiTheme="minorHAnsi" w:cstheme="minorHAnsi"/>
          <w:szCs w:val="22"/>
        </w:rPr>
        <w:t>the material risks associated with ongoing business operations; and</w:t>
      </w:r>
    </w:p>
    <w:p w14:paraId="5FB8999D" w14:textId="77777777" w:rsidR="003D41F6" w:rsidRPr="00816669" w:rsidRDefault="003D41F6" w:rsidP="003D41F6">
      <w:pPr>
        <w:pStyle w:val="BodyText"/>
        <w:widowControl w:val="0"/>
        <w:numPr>
          <w:ilvl w:val="0"/>
          <w:numId w:val="11"/>
        </w:numPr>
        <w:autoSpaceDE w:val="0"/>
        <w:autoSpaceDN w:val="0"/>
        <w:spacing w:after="240"/>
        <w:ind w:left="714" w:right="-52" w:hanging="357"/>
        <w:jc w:val="both"/>
        <w:rPr>
          <w:rFonts w:asciiTheme="minorHAnsi" w:hAnsiTheme="minorHAnsi" w:cstheme="minorHAnsi"/>
          <w:szCs w:val="22"/>
        </w:rPr>
      </w:pPr>
      <w:r w:rsidRPr="00816669">
        <w:rPr>
          <w:rFonts w:asciiTheme="minorHAnsi" w:hAnsiTheme="minorHAnsi" w:cstheme="minorHAnsi"/>
          <w:szCs w:val="22"/>
        </w:rPr>
        <w:t xml:space="preserve">those required to facilitate an orderly wind-down of the business. </w:t>
      </w:r>
    </w:p>
    <w:p w14:paraId="416FE9C9" w14:textId="4760887B" w:rsidR="00251F4F" w:rsidRDefault="003D41F6" w:rsidP="003D41F6">
      <w:pPr>
        <w:rPr>
          <w:rFonts w:asciiTheme="minorHAnsi" w:hAnsiTheme="minorHAnsi" w:cstheme="minorHAnsi"/>
          <w:sz w:val="22"/>
          <w:szCs w:val="22"/>
        </w:rPr>
      </w:pPr>
      <w:r w:rsidRPr="00816669">
        <w:rPr>
          <w:rFonts w:asciiTheme="minorHAnsi" w:hAnsiTheme="minorHAnsi" w:cstheme="minorHAnsi"/>
          <w:sz w:val="22"/>
          <w:szCs w:val="22"/>
        </w:rPr>
        <w:t xml:space="preserve">Whilst no adjustment was made in relation to risks associated with ongoing operations, the Firm adjusted its FOR upwards from the baseline calculation of </w:t>
      </w:r>
      <w:r w:rsidRPr="00C74A2D">
        <w:rPr>
          <w:rFonts w:asciiTheme="minorHAnsi" w:hAnsiTheme="minorHAnsi" w:cstheme="minorHAnsi"/>
          <w:sz w:val="22"/>
          <w:szCs w:val="22"/>
        </w:rPr>
        <w:t>£</w:t>
      </w:r>
      <w:r w:rsidR="00AF3C4F" w:rsidRPr="00C74A2D">
        <w:rPr>
          <w:rFonts w:asciiTheme="minorHAnsi" w:hAnsiTheme="minorHAnsi" w:cstheme="minorHAnsi"/>
          <w:sz w:val="22"/>
          <w:szCs w:val="22"/>
        </w:rPr>
        <w:t>1</w:t>
      </w:r>
      <w:r w:rsidR="00DB051C" w:rsidRPr="00C74A2D">
        <w:rPr>
          <w:rFonts w:asciiTheme="minorHAnsi" w:hAnsiTheme="minorHAnsi" w:cstheme="minorHAnsi"/>
          <w:sz w:val="22"/>
          <w:szCs w:val="22"/>
        </w:rPr>
        <w:t>,</w:t>
      </w:r>
      <w:r w:rsidR="00C74A2D" w:rsidRPr="00C74A2D">
        <w:rPr>
          <w:rFonts w:asciiTheme="minorHAnsi" w:hAnsiTheme="minorHAnsi" w:cstheme="minorHAnsi"/>
          <w:sz w:val="22"/>
          <w:szCs w:val="22"/>
        </w:rPr>
        <w:t>894.000</w:t>
      </w:r>
      <w:r w:rsidRPr="00816669">
        <w:rPr>
          <w:rFonts w:asciiTheme="minorHAnsi" w:hAnsiTheme="minorHAnsi" w:cstheme="minorHAnsi"/>
          <w:sz w:val="22"/>
          <w:szCs w:val="22"/>
        </w:rPr>
        <w:t xml:space="preserve"> </w:t>
      </w:r>
      <w:proofErr w:type="gramStart"/>
      <w:r w:rsidRPr="00816669">
        <w:rPr>
          <w:rFonts w:asciiTheme="minorHAnsi" w:hAnsiTheme="minorHAnsi" w:cstheme="minorHAnsi"/>
          <w:sz w:val="22"/>
          <w:szCs w:val="22"/>
        </w:rPr>
        <w:t>as a result of</w:t>
      </w:r>
      <w:proofErr w:type="gramEnd"/>
      <w:r w:rsidRPr="00816669">
        <w:rPr>
          <w:rFonts w:asciiTheme="minorHAnsi" w:hAnsiTheme="minorHAnsi" w:cstheme="minorHAnsi"/>
          <w:sz w:val="22"/>
          <w:szCs w:val="22"/>
        </w:rPr>
        <w:t xml:space="preserve"> its wind-down planning.  The revised FOR is included within the table above</w:t>
      </w:r>
      <w:r w:rsidR="00C85341">
        <w:rPr>
          <w:rFonts w:asciiTheme="minorHAnsi" w:hAnsiTheme="minorHAnsi" w:cstheme="minorHAnsi"/>
          <w:sz w:val="22"/>
          <w:szCs w:val="22"/>
        </w:rPr>
        <w:t>.</w:t>
      </w:r>
    </w:p>
    <w:p w14:paraId="07D31ADD" w14:textId="48BA3B38" w:rsidR="00C85341" w:rsidRDefault="00C85341" w:rsidP="003D41F6">
      <w:pPr>
        <w:rPr>
          <w:rFonts w:asciiTheme="minorHAnsi" w:hAnsiTheme="minorHAnsi" w:cstheme="minorHAnsi"/>
          <w:sz w:val="22"/>
          <w:szCs w:val="22"/>
        </w:rPr>
      </w:pPr>
    </w:p>
    <w:p w14:paraId="2B7EB042" w14:textId="363C9072" w:rsidR="00C85341" w:rsidRDefault="00C85341" w:rsidP="003D41F6">
      <w:pPr>
        <w:rPr>
          <w:rFonts w:asciiTheme="minorHAnsi" w:hAnsiTheme="minorHAnsi" w:cstheme="minorHAnsi"/>
          <w:sz w:val="22"/>
          <w:szCs w:val="22"/>
        </w:rPr>
      </w:pPr>
    </w:p>
    <w:p w14:paraId="4C7E2F4B" w14:textId="1FE92DD5" w:rsidR="00C85341" w:rsidRDefault="00C85341" w:rsidP="003D41F6">
      <w:pPr>
        <w:rPr>
          <w:rFonts w:asciiTheme="minorHAnsi" w:hAnsiTheme="minorHAnsi" w:cstheme="minorHAnsi"/>
          <w:sz w:val="22"/>
          <w:szCs w:val="22"/>
        </w:rPr>
      </w:pPr>
    </w:p>
    <w:p w14:paraId="4F901932" w14:textId="662384AE" w:rsidR="00C85341" w:rsidRDefault="00C85341" w:rsidP="003D41F6">
      <w:pPr>
        <w:rPr>
          <w:rFonts w:asciiTheme="minorHAnsi" w:hAnsiTheme="minorHAnsi" w:cstheme="minorHAnsi"/>
          <w:sz w:val="22"/>
          <w:szCs w:val="22"/>
        </w:rPr>
      </w:pPr>
    </w:p>
    <w:p w14:paraId="7BA5E82A" w14:textId="26C8951C" w:rsidR="00C85341" w:rsidRDefault="00C85341" w:rsidP="003D41F6">
      <w:pPr>
        <w:rPr>
          <w:rFonts w:asciiTheme="minorHAnsi" w:hAnsiTheme="minorHAnsi" w:cstheme="minorHAnsi"/>
          <w:sz w:val="22"/>
          <w:szCs w:val="22"/>
        </w:rPr>
      </w:pPr>
    </w:p>
    <w:p w14:paraId="780D24C4" w14:textId="2B486BFD" w:rsidR="00C85341" w:rsidRDefault="00C85341" w:rsidP="003D41F6">
      <w:pPr>
        <w:rPr>
          <w:rFonts w:asciiTheme="minorHAnsi" w:hAnsiTheme="minorHAnsi" w:cstheme="minorHAnsi"/>
          <w:sz w:val="22"/>
          <w:szCs w:val="22"/>
        </w:rPr>
      </w:pPr>
    </w:p>
    <w:p w14:paraId="14639B42" w14:textId="4C47FE5B" w:rsidR="00C85341" w:rsidRDefault="00C85341" w:rsidP="003D41F6">
      <w:pPr>
        <w:rPr>
          <w:rFonts w:asciiTheme="minorHAnsi" w:hAnsiTheme="minorHAnsi" w:cstheme="minorHAnsi"/>
          <w:sz w:val="22"/>
          <w:szCs w:val="22"/>
        </w:rPr>
      </w:pPr>
    </w:p>
    <w:p w14:paraId="00F5B890" w14:textId="6DB61512" w:rsidR="00C85341" w:rsidRDefault="00C85341" w:rsidP="003D41F6">
      <w:pPr>
        <w:rPr>
          <w:rFonts w:asciiTheme="minorHAnsi" w:hAnsiTheme="minorHAnsi" w:cstheme="minorHAnsi"/>
          <w:sz w:val="22"/>
          <w:szCs w:val="22"/>
        </w:rPr>
      </w:pPr>
    </w:p>
    <w:p w14:paraId="7D534C8C" w14:textId="7FAC89B9" w:rsidR="00C85341" w:rsidRDefault="00C85341" w:rsidP="003D41F6">
      <w:pPr>
        <w:rPr>
          <w:rFonts w:asciiTheme="minorHAnsi" w:hAnsiTheme="minorHAnsi" w:cstheme="minorHAnsi"/>
          <w:sz w:val="22"/>
          <w:szCs w:val="22"/>
        </w:rPr>
      </w:pPr>
    </w:p>
    <w:p w14:paraId="57DB37D8" w14:textId="77777777" w:rsidR="00C85341" w:rsidRPr="00816669" w:rsidRDefault="00C85341" w:rsidP="00C85341">
      <w:pPr>
        <w:pStyle w:val="Heading1"/>
        <w:numPr>
          <w:ilvl w:val="0"/>
          <w:numId w:val="8"/>
        </w:numPr>
        <w:tabs>
          <w:tab w:val="num" w:pos="1778"/>
        </w:tabs>
        <w:spacing w:after="240"/>
        <w:ind w:left="721" w:hanging="437"/>
        <w:rPr>
          <w:rFonts w:asciiTheme="minorHAnsi" w:hAnsiTheme="minorHAnsi"/>
          <w:b w:val="0"/>
          <w:color w:val="auto"/>
          <w:sz w:val="24"/>
          <w:lang w:val="en-US"/>
        </w:rPr>
      </w:pPr>
      <w:r w:rsidRPr="00816669">
        <w:rPr>
          <w:rFonts w:asciiTheme="minorHAnsi" w:hAnsiTheme="minorHAnsi"/>
          <w:color w:val="auto"/>
          <w:sz w:val="24"/>
          <w:lang w:val="en-US"/>
        </w:rPr>
        <w:t>REMUNERATION POLICY AND PRACTICES (MIFIDPRU 8.6)</w:t>
      </w:r>
    </w:p>
    <w:p w14:paraId="0FFA3496" w14:textId="77777777" w:rsidR="00C85341" w:rsidRPr="00816669" w:rsidRDefault="00C85341" w:rsidP="00C85341">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bookmarkStart w:id="4" w:name="_Toc132106020"/>
      <w:r w:rsidRPr="00816669">
        <w:rPr>
          <w:rFonts w:asciiTheme="minorHAnsi" w:hAnsiTheme="minorHAnsi" w:cstheme="minorHAnsi"/>
          <w:color w:val="auto"/>
          <w:spacing w:val="-2"/>
          <w:sz w:val="22"/>
          <w:szCs w:val="22"/>
        </w:rPr>
        <w:t>Remuneration policy</w:t>
      </w:r>
      <w:bookmarkEnd w:id="4"/>
    </w:p>
    <w:p w14:paraId="0CC00D2D" w14:textId="253A220E" w:rsidR="00C85341" w:rsidRPr="00816669" w:rsidRDefault="00C85341" w:rsidP="00C85341">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Board considers and agrees the Remuneration Policy for all employees, with particular focus on material risk takers. It ensures that remuneration is aligned to the Firm’s business objectives, values, risk appetite, regulatory </w:t>
      </w:r>
      <w:r w:rsidR="00CE1720" w:rsidRPr="00816669">
        <w:rPr>
          <w:rFonts w:asciiTheme="minorHAnsi" w:hAnsiTheme="minorHAnsi" w:cstheme="minorHAnsi"/>
          <w:szCs w:val="22"/>
        </w:rPr>
        <w:t>compliance,</w:t>
      </w:r>
      <w:r w:rsidRPr="00816669">
        <w:rPr>
          <w:rFonts w:asciiTheme="minorHAnsi" w:hAnsiTheme="minorHAnsi" w:cstheme="minorHAnsi"/>
          <w:szCs w:val="22"/>
        </w:rPr>
        <w:t xml:space="preserve"> and long-term sustainable success, in order to support a high-performance culture and drive appropriate behaviours.</w:t>
      </w:r>
    </w:p>
    <w:p w14:paraId="3EC6310B" w14:textId="14503255" w:rsidR="00C85341" w:rsidRPr="00816669" w:rsidRDefault="00C85341" w:rsidP="00C85341">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Firm’s Remuneration Policy, which is reviewed annually, is designed to adhere to regulatory and legislative principles and aims to recognise the interest of relevant stakeholders of </w:t>
      </w:r>
      <w:r w:rsidR="007D62CC">
        <w:rPr>
          <w:rFonts w:asciiTheme="minorHAnsi" w:hAnsiTheme="minorHAnsi" w:cstheme="minorHAnsi"/>
          <w:szCs w:val="22"/>
        </w:rPr>
        <w:t>Linear</w:t>
      </w:r>
      <w:r w:rsidRPr="00816669">
        <w:rPr>
          <w:rFonts w:asciiTheme="minorHAnsi" w:hAnsiTheme="minorHAnsi" w:cstheme="minorHAnsi"/>
          <w:szCs w:val="22"/>
        </w:rPr>
        <w:t xml:space="preserve"> and drive an appropriate risk-based culture within the Firm.</w:t>
      </w:r>
    </w:p>
    <w:p w14:paraId="54544797" w14:textId="77777777" w:rsidR="00C85341" w:rsidRPr="00816669" w:rsidRDefault="00C85341" w:rsidP="00C85341">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bookmarkStart w:id="5" w:name="_Toc132106021"/>
      <w:r w:rsidRPr="00816669">
        <w:rPr>
          <w:rFonts w:asciiTheme="minorHAnsi" w:hAnsiTheme="minorHAnsi" w:cstheme="minorHAnsi"/>
          <w:color w:val="auto"/>
          <w:spacing w:val="-2"/>
          <w:sz w:val="22"/>
          <w:szCs w:val="22"/>
        </w:rPr>
        <w:t>Link between remuneration and performance</w:t>
      </w:r>
      <w:bookmarkEnd w:id="5"/>
    </w:p>
    <w:p w14:paraId="404B4878" w14:textId="32464ACC" w:rsidR="00C85341" w:rsidRPr="00816669" w:rsidRDefault="00C85341" w:rsidP="00C85341">
      <w:pPr>
        <w:pStyle w:val="BodyText"/>
        <w:spacing w:after="240"/>
        <w:ind w:right="-52"/>
        <w:jc w:val="both"/>
        <w:rPr>
          <w:rFonts w:asciiTheme="minorHAnsi" w:hAnsiTheme="minorHAnsi" w:cstheme="minorHAnsi"/>
          <w:szCs w:val="22"/>
        </w:rPr>
      </w:pPr>
      <w:bookmarkStart w:id="6" w:name="_Toc132106022"/>
      <w:r w:rsidRPr="00816669">
        <w:rPr>
          <w:rFonts w:asciiTheme="minorHAnsi" w:hAnsiTheme="minorHAnsi" w:cstheme="minorHAnsi"/>
          <w:szCs w:val="22"/>
        </w:rPr>
        <w:t xml:space="preserve">Remuneration for the period ended 31st </w:t>
      </w:r>
      <w:r>
        <w:rPr>
          <w:rFonts w:asciiTheme="minorHAnsi" w:hAnsiTheme="minorHAnsi" w:cstheme="minorHAnsi"/>
          <w:szCs w:val="22"/>
        </w:rPr>
        <w:t>March</w:t>
      </w:r>
      <w:r w:rsidRPr="00816669">
        <w:rPr>
          <w:rFonts w:asciiTheme="minorHAnsi" w:hAnsiTheme="minorHAnsi" w:cstheme="minorHAnsi"/>
          <w:szCs w:val="22"/>
        </w:rPr>
        <w:t xml:space="preserve"> 202</w:t>
      </w:r>
      <w:r w:rsidR="007D62CC">
        <w:rPr>
          <w:rFonts w:asciiTheme="minorHAnsi" w:hAnsiTheme="minorHAnsi" w:cstheme="minorHAnsi"/>
          <w:szCs w:val="22"/>
        </w:rPr>
        <w:t>3</w:t>
      </w:r>
      <w:r w:rsidRPr="00816669">
        <w:rPr>
          <w:rFonts w:asciiTheme="minorHAnsi" w:hAnsiTheme="minorHAnsi" w:cstheme="minorHAnsi"/>
          <w:szCs w:val="22"/>
        </w:rPr>
        <w:t xml:space="preserve"> consisted of fixed monthly salaries. There was no performance related pay for this period.</w:t>
      </w:r>
    </w:p>
    <w:p w14:paraId="2327EA8E" w14:textId="77777777" w:rsidR="00C85341" w:rsidRPr="00816669" w:rsidRDefault="00C85341" w:rsidP="00C85341">
      <w:pPr>
        <w:pStyle w:val="Heading2"/>
        <w:numPr>
          <w:ilvl w:val="1"/>
          <w:numId w:val="8"/>
        </w:numPr>
        <w:tabs>
          <w:tab w:val="num" w:pos="2498"/>
        </w:tabs>
        <w:spacing w:before="0" w:after="240"/>
        <w:ind w:left="993" w:right="-52" w:hanging="709"/>
        <w:rPr>
          <w:rFonts w:asciiTheme="minorHAnsi" w:hAnsiTheme="minorHAnsi" w:cstheme="minorHAnsi"/>
          <w:b w:val="0"/>
          <w:bCs w:val="0"/>
          <w:color w:val="auto"/>
          <w:spacing w:val="-2"/>
          <w:sz w:val="22"/>
          <w:szCs w:val="22"/>
        </w:rPr>
      </w:pPr>
      <w:r w:rsidRPr="00816669">
        <w:rPr>
          <w:rFonts w:asciiTheme="minorHAnsi" w:hAnsiTheme="minorHAnsi" w:cstheme="minorHAnsi"/>
          <w:color w:val="auto"/>
          <w:spacing w:val="-2"/>
          <w:sz w:val="22"/>
          <w:szCs w:val="22"/>
        </w:rPr>
        <w:t>Material risk taker remuneration</w:t>
      </w:r>
      <w:bookmarkEnd w:id="6"/>
    </w:p>
    <w:p w14:paraId="4D5DFD96" w14:textId="324691BC" w:rsidR="00C85341" w:rsidRPr="00816669" w:rsidRDefault="00C85341" w:rsidP="00C85341">
      <w:pPr>
        <w:pStyle w:val="BodyText"/>
        <w:spacing w:after="240"/>
        <w:ind w:right="-52"/>
        <w:jc w:val="both"/>
        <w:rPr>
          <w:rFonts w:asciiTheme="minorHAnsi" w:hAnsiTheme="minorHAnsi" w:cstheme="minorHAnsi"/>
          <w:szCs w:val="22"/>
        </w:rPr>
      </w:pPr>
      <w:r w:rsidRPr="00816669">
        <w:rPr>
          <w:rFonts w:asciiTheme="minorHAnsi" w:hAnsiTheme="minorHAnsi" w:cstheme="minorHAnsi"/>
          <w:szCs w:val="22"/>
        </w:rPr>
        <w:t xml:space="preserve">The table below sets out the </w:t>
      </w:r>
      <w:r w:rsidR="007D62CC">
        <w:rPr>
          <w:rFonts w:asciiTheme="minorHAnsi" w:hAnsiTheme="minorHAnsi" w:cstheme="minorHAnsi"/>
          <w:szCs w:val="22"/>
        </w:rPr>
        <w:t xml:space="preserve">number </w:t>
      </w:r>
      <w:r w:rsidRPr="00816669">
        <w:rPr>
          <w:rFonts w:asciiTheme="minorHAnsi" w:hAnsiTheme="minorHAnsi" w:cstheme="minorHAnsi"/>
          <w:szCs w:val="22"/>
        </w:rPr>
        <w:t>o</w:t>
      </w:r>
      <w:r w:rsidR="007D62CC">
        <w:rPr>
          <w:rFonts w:asciiTheme="minorHAnsi" w:hAnsiTheme="minorHAnsi" w:cstheme="minorHAnsi"/>
          <w:szCs w:val="22"/>
        </w:rPr>
        <w:t>f</w:t>
      </w:r>
      <w:r w:rsidRPr="00816669">
        <w:rPr>
          <w:rFonts w:asciiTheme="minorHAnsi" w:hAnsiTheme="minorHAnsi" w:cstheme="minorHAnsi"/>
          <w:szCs w:val="22"/>
        </w:rPr>
        <w:t xml:space="preserve"> senior managers and other material risk takers.</w:t>
      </w:r>
      <w:r w:rsidR="00B253FF">
        <w:rPr>
          <w:rFonts w:asciiTheme="minorHAnsi" w:hAnsiTheme="minorHAnsi" w:cstheme="minorHAnsi"/>
          <w:szCs w:val="22"/>
        </w:rPr>
        <w:t xml:space="preserve"> </w:t>
      </w:r>
    </w:p>
    <w:tbl>
      <w:tblPr>
        <w:tblStyle w:val="TableGrid"/>
        <w:tblW w:w="0" w:type="auto"/>
        <w:tblLook w:val="04A0" w:firstRow="1" w:lastRow="0" w:firstColumn="1" w:lastColumn="0" w:noHBand="0" w:noVBand="1"/>
      </w:tblPr>
      <w:tblGrid>
        <w:gridCol w:w="4389"/>
        <w:gridCol w:w="2366"/>
        <w:gridCol w:w="2255"/>
      </w:tblGrid>
      <w:tr w:rsidR="00C85341" w:rsidRPr="00816669" w14:paraId="73473C57" w14:textId="77777777" w:rsidTr="004A2FEE">
        <w:tc>
          <w:tcPr>
            <w:tcW w:w="4389"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9D63F95" w14:textId="77777777" w:rsidR="00C85341" w:rsidRPr="00816669" w:rsidRDefault="00C85341" w:rsidP="004A2FEE">
            <w:pPr>
              <w:rPr>
                <w:rFonts w:asciiTheme="minorHAnsi" w:hAnsiTheme="minorHAnsi" w:cstheme="minorHAnsi"/>
                <w:b/>
                <w:sz w:val="22"/>
                <w:szCs w:val="22"/>
              </w:rPr>
            </w:pPr>
            <w:r w:rsidRPr="00816669">
              <w:rPr>
                <w:rFonts w:asciiTheme="minorHAnsi" w:hAnsiTheme="minorHAnsi" w:cstheme="minorHAnsi"/>
                <w:b/>
                <w:sz w:val="22"/>
                <w:szCs w:val="22"/>
              </w:rPr>
              <w:t>Details</w:t>
            </w:r>
          </w:p>
        </w:tc>
        <w:tc>
          <w:tcPr>
            <w:tcW w:w="2366"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B51F3AC" w14:textId="77777777" w:rsidR="00C85341" w:rsidRPr="00816669" w:rsidRDefault="00C85341" w:rsidP="004A2FEE">
            <w:pPr>
              <w:jc w:val="right"/>
              <w:rPr>
                <w:rFonts w:asciiTheme="minorHAnsi" w:hAnsiTheme="minorHAnsi" w:cstheme="minorHAnsi"/>
                <w:b/>
                <w:sz w:val="22"/>
                <w:szCs w:val="22"/>
              </w:rPr>
            </w:pPr>
            <w:r w:rsidRPr="00816669">
              <w:rPr>
                <w:rFonts w:asciiTheme="minorHAnsi" w:hAnsiTheme="minorHAnsi" w:cstheme="minorHAnsi"/>
                <w:b/>
                <w:sz w:val="22"/>
                <w:szCs w:val="22"/>
              </w:rPr>
              <w:t>Senior Managers</w:t>
            </w:r>
          </w:p>
        </w:tc>
        <w:tc>
          <w:tcPr>
            <w:tcW w:w="225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1FDDE55" w14:textId="77777777" w:rsidR="00C85341" w:rsidRPr="00816669" w:rsidRDefault="00C85341" w:rsidP="004A2FEE">
            <w:pPr>
              <w:jc w:val="right"/>
              <w:rPr>
                <w:rFonts w:asciiTheme="minorHAnsi" w:hAnsiTheme="minorHAnsi" w:cstheme="minorHAnsi"/>
                <w:b/>
                <w:sz w:val="22"/>
                <w:szCs w:val="22"/>
              </w:rPr>
            </w:pPr>
            <w:r w:rsidRPr="00816669">
              <w:rPr>
                <w:rFonts w:asciiTheme="minorHAnsi" w:hAnsiTheme="minorHAnsi" w:cstheme="minorHAnsi"/>
                <w:b/>
                <w:sz w:val="22"/>
                <w:szCs w:val="22"/>
              </w:rPr>
              <w:t>Other material risk takers</w:t>
            </w:r>
          </w:p>
        </w:tc>
      </w:tr>
      <w:tr w:rsidR="00C85341" w:rsidRPr="00816669" w14:paraId="670D1DF6" w14:textId="77777777" w:rsidTr="004A2FEE">
        <w:trPr>
          <w:trHeight w:val="454"/>
        </w:trPr>
        <w:tc>
          <w:tcPr>
            <w:tcW w:w="4389" w:type="dxa"/>
            <w:tcBorders>
              <w:top w:val="single" w:sz="4" w:space="0" w:color="auto"/>
              <w:left w:val="single" w:sz="4" w:space="0" w:color="auto"/>
              <w:bottom w:val="single" w:sz="4" w:space="0" w:color="auto"/>
              <w:right w:val="single" w:sz="4" w:space="0" w:color="auto"/>
            </w:tcBorders>
            <w:shd w:val="clear" w:color="auto" w:fill="auto"/>
            <w:vAlign w:val="bottom"/>
          </w:tcPr>
          <w:p w14:paraId="0EE2D12A" w14:textId="77777777" w:rsidR="00C85341" w:rsidRPr="00816669" w:rsidRDefault="00C85341" w:rsidP="004A2FEE">
            <w:pPr>
              <w:rPr>
                <w:rFonts w:asciiTheme="minorHAnsi" w:hAnsiTheme="minorHAnsi" w:cstheme="minorHAnsi"/>
                <w:b/>
                <w:sz w:val="22"/>
                <w:szCs w:val="22"/>
              </w:rPr>
            </w:pPr>
            <w:r w:rsidRPr="00816669">
              <w:rPr>
                <w:rFonts w:asciiTheme="minorHAnsi" w:hAnsiTheme="minorHAnsi" w:cstheme="minorHAnsi"/>
                <w:b/>
                <w:sz w:val="22"/>
                <w:szCs w:val="22"/>
              </w:rPr>
              <w:t>Number of material risk takers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14:paraId="2E7EFFF7" w14:textId="30710FBB" w:rsidR="00C85341" w:rsidRPr="00816669" w:rsidRDefault="00DF5E33" w:rsidP="004A2FEE">
            <w:pPr>
              <w:ind w:right="694"/>
              <w:jc w:val="right"/>
              <w:rPr>
                <w:rFonts w:asciiTheme="minorHAnsi" w:hAnsiTheme="minorHAnsi" w:cstheme="minorHAnsi"/>
                <w:bCs/>
                <w:sz w:val="22"/>
                <w:szCs w:val="22"/>
              </w:rPr>
            </w:pPr>
            <w:r>
              <w:rPr>
                <w:rFonts w:asciiTheme="minorHAnsi" w:hAnsiTheme="minorHAnsi" w:cstheme="minorHAnsi"/>
                <w:bCs/>
                <w:sz w:val="22"/>
                <w:szCs w:val="22"/>
              </w:rPr>
              <w:t>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bottom"/>
          </w:tcPr>
          <w:p w14:paraId="592E7A0D" w14:textId="57AE854B" w:rsidR="00C85341" w:rsidRPr="00816669" w:rsidRDefault="00DF5E33" w:rsidP="004A2FEE">
            <w:pPr>
              <w:ind w:right="694"/>
              <w:jc w:val="right"/>
              <w:rPr>
                <w:rFonts w:asciiTheme="minorHAnsi" w:hAnsiTheme="minorHAnsi" w:cstheme="minorHAnsi"/>
                <w:bCs/>
                <w:sz w:val="22"/>
                <w:szCs w:val="22"/>
              </w:rPr>
            </w:pPr>
            <w:r>
              <w:rPr>
                <w:rFonts w:asciiTheme="minorHAnsi" w:hAnsiTheme="minorHAnsi" w:cstheme="minorHAnsi"/>
                <w:bCs/>
                <w:sz w:val="22"/>
                <w:szCs w:val="22"/>
              </w:rPr>
              <w:t>2</w:t>
            </w:r>
          </w:p>
        </w:tc>
      </w:tr>
    </w:tbl>
    <w:p w14:paraId="4D1BDAF6" w14:textId="40ABE130" w:rsidR="00B340C8" w:rsidRDefault="00B340C8" w:rsidP="003D41F6">
      <w:pPr>
        <w:rPr>
          <w:rFonts w:asciiTheme="minorHAnsi" w:eastAsia="Cambria" w:hAnsiTheme="minorHAnsi" w:cstheme="minorHAnsi"/>
          <w:color w:val="141413"/>
          <w:sz w:val="22"/>
          <w:szCs w:val="22"/>
          <w:lang w:eastAsia="en-US"/>
        </w:rPr>
      </w:pPr>
    </w:p>
    <w:p w14:paraId="1CEAD5C4" w14:textId="38A62FD4" w:rsidR="00B340C8" w:rsidRPr="002659FE" w:rsidRDefault="00B340C8" w:rsidP="003D41F6">
      <w:pPr>
        <w:rPr>
          <w:rFonts w:asciiTheme="minorHAnsi" w:eastAsia="Cambria" w:hAnsiTheme="minorHAnsi" w:cstheme="minorHAnsi"/>
          <w:color w:val="141413"/>
          <w:sz w:val="22"/>
          <w:szCs w:val="22"/>
          <w:lang w:eastAsia="en-US"/>
        </w:rPr>
      </w:pPr>
      <w:r>
        <w:rPr>
          <w:rFonts w:asciiTheme="minorHAnsi" w:eastAsia="Cambria" w:hAnsiTheme="minorHAnsi" w:cstheme="minorHAnsi"/>
          <w:color w:val="141413"/>
          <w:sz w:val="22"/>
          <w:szCs w:val="22"/>
          <w:lang w:eastAsia="en-US"/>
        </w:rPr>
        <w:t>Linear is exempt from MIFIDPRU 8.6.8 (4), (5a, 5b) &amp; (6) as the aggregation of such information only relates to one or two people</w:t>
      </w:r>
      <w:r w:rsidR="00DB051C">
        <w:rPr>
          <w:rFonts w:asciiTheme="minorHAnsi" w:eastAsia="Cambria" w:hAnsiTheme="minorHAnsi" w:cstheme="minorHAnsi"/>
          <w:color w:val="141413"/>
          <w:sz w:val="22"/>
          <w:szCs w:val="22"/>
          <w:lang w:eastAsia="en-US"/>
        </w:rPr>
        <w:t xml:space="preserve"> and would unfairly prejudice those individuals. </w:t>
      </w:r>
    </w:p>
    <w:sectPr w:rsidR="00B340C8" w:rsidRPr="002659FE" w:rsidSect="009E7D37">
      <w:headerReference w:type="default" r:id="rId8"/>
      <w:footerReference w:type="default" r:id="rId9"/>
      <w:type w:val="continuous"/>
      <w:pgSz w:w="11907" w:h="16839" w:code="9"/>
      <w:pgMar w:top="2155" w:right="1440" w:bottom="6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6A23" w14:textId="77777777" w:rsidR="00027DED" w:rsidRDefault="00027DED" w:rsidP="00FC60DC">
      <w:r>
        <w:separator/>
      </w:r>
    </w:p>
  </w:endnote>
  <w:endnote w:type="continuationSeparator" w:id="0">
    <w:p w14:paraId="5F7615A9" w14:textId="77777777" w:rsidR="00027DED" w:rsidRDefault="00027DED" w:rsidP="00FC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76923C" w:themeColor="accent3" w:themeShade="BF"/>
        <w:sz w:val="22"/>
        <w:szCs w:val="22"/>
        <w:lang w:eastAsia="en-US"/>
      </w:rPr>
      <w:id w:val="1258052595"/>
      <w:docPartObj>
        <w:docPartGallery w:val="Page Numbers (Bottom of Page)"/>
        <w:docPartUnique/>
      </w:docPartObj>
    </w:sdtPr>
    <w:sdtEndPr>
      <w:rPr>
        <w:rFonts w:ascii="Times New Roman" w:eastAsia="SimSun" w:hAnsi="Times New Roman" w:cs="Times New Roman"/>
        <w:sz w:val="24"/>
        <w:szCs w:val="24"/>
        <w:lang w:eastAsia="zh-CN"/>
      </w:rPr>
    </w:sdtEndPr>
    <w:sdtContent>
      <w:p w14:paraId="7B420A89" w14:textId="52CE50E7" w:rsidR="00F03385" w:rsidRPr="001765B7" w:rsidRDefault="009E7D37" w:rsidP="001765B7">
        <w:pPr>
          <w:jc w:val="right"/>
          <w:rPr>
            <w:color w:val="76923C" w:themeColor="accent3" w:themeShade="BF"/>
          </w:rPr>
        </w:pPr>
        <w:r w:rsidRPr="001765B7">
          <w:rPr>
            <w:noProof/>
            <w:lang w:eastAsia="en-GB"/>
          </w:rPr>
          <mc:AlternateContent>
            <mc:Choice Requires="wps">
              <w:drawing>
                <wp:anchor distT="0" distB="0" distL="114300" distR="114300" simplePos="0" relativeHeight="251663360" behindDoc="0" locked="0" layoutInCell="1" allowOverlap="1" wp14:anchorId="524DD13C" wp14:editId="27D0E589">
                  <wp:simplePos x="0" y="0"/>
                  <wp:positionH relativeFrom="column">
                    <wp:posOffset>812800</wp:posOffset>
                  </wp:positionH>
                  <wp:positionV relativeFrom="paragraph">
                    <wp:posOffset>-116840</wp:posOffset>
                  </wp:positionV>
                  <wp:extent cx="1485265" cy="342900"/>
                  <wp:effectExtent l="0" t="0" r="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2900"/>
                          </a:xfrm>
                          <a:prstGeom prst="rect">
                            <a:avLst/>
                          </a:prstGeom>
                          <a:noFill/>
                          <a:ln w="9525">
                            <a:noFill/>
                            <a:miter lim="800000"/>
                            <a:headEnd/>
                            <a:tailEnd/>
                          </a:ln>
                        </wps:spPr>
                        <wps:txbx>
                          <w:txbxContent>
                            <w:p w14:paraId="3DB1CE4F" w14:textId="7C54A014" w:rsidR="009E7D37" w:rsidRPr="00D15C03" w:rsidRDefault="009E7D37" w:rsidP="009E7D37">
                              <w:pPr>
                                <w:rPr>
                                  <w:rFonts w:ascii="Arial" w:hAnsi="Arial"/>
                                  <w:color w:val="7F7F7F" w:themeColor="text1" w:themeTint="80"/>
                                  <w:sz w:val="14"/>
                                  <w:szCs w:val="14"/>
                                </w:rPr>
                              </w:pPr>
                              <w:r w:rsidRPr="00D15C03">
                                <w:rPr>
                                  <w:rFonts w:ascii="Arial" w:hAnsi="Arial"/>
                                  <w:color w:val="7F7F7F" w:themeColor="text1" w:themeTint="80"/>
                                  <w:sz w:val="14"/>
                                  <w:szCs w:val="14"/>
                                </w:rPr>
                                <w:t xml:space="preserve">Registered in England </w:t>
                              </w:r>
                              <w:r>
                                <w:rPr>
                                  <w:rFonts w:ascii="Arial" w:hAnsi="Arial"/>
                                  <w:color w:val="7F7F7F" w:themeColor="text1" w:themeTint="80"/>
                                  <w:sz w:val="14"/>
                                  <w:szCs w:val="14"/>
                                </w:rPr>
                                <w:br/>
                              </w:r>
                              <w:r w:rsidRPr="00D15C03">
                                <w:rPr>
                                  <w:rFonts w:ascii="Arial" w:hAnsi="Arial"/>
                                  <w:color w:val="7F7F7F" w:themeColor="text1" w:themeTint="80"/>
                                  <w:sz w:val="14"/>
                                  <w:szCs w:val="14"/>
                                </w:rPr>
                                <w:t xml:space="preserve">and Wales No. </w:t>
                              </w:r>
                              <w:r w:rsidR="007A73F3">
                                <w:rPr>
                                  <w:rFonts w:ascii="Arial" w:hAnsi="Arial"/>
                                  <w:color w:val="7F7F7F" w:themeColor="text1" w:themeTint="80"/>
                                  <w:sz w:val="14"/>
                                  <w:szCs w:val="14"/>
                                </w:rPr>
                                <w:t>0</w:t>
                              </w:r>
                              <w:r w:rsidRPr="00D15C03">
                                <w:rPr>
                                  <w:rFonts w:ascii="Arial" w:hAnsi="Arial"/>
                                  <w:color w:val="7F7F7F" w:themeColor="text1" w:themeTint="80"/>
                                  <w:sz w:val="14"/>
                                  <w:szCs w:val="14"/>
                                </w:rPr>
                                <w:t>7330725</w:t>
                              </w:r>
                            </w:p>
                            <w:p w14:paraId="4A51217B" w14:textId="70D7924C" w:rsidR="001765B7" w:rsidRPr="00D15C03" w:rsidRDefault="001765B7" w:rsidP="001765B7">
                              <w:pPr>
                                <w:rPr>
                                  <w:rFonts w:ascii="Arial" w:hAnsi="Arial"/>
                                  <w:color w:val="7F7F7F" w:themeColor="text1" w:themeTint="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DD13C" id="_x0000_t202" coordsize="21600,21600" o:spt="202" path="m,l,21600r21600,l21600,xe">
                  <v:stroke joinstyle="miter"/>
                  <v:path gradientshapeok="t" o:connecttype="rect"/>
                </v:shapetype>
                <v:shape id="_x0000_s1028" type="#_x0000_t202" style="position:absolute;left:0;text-align:left;margin-left:64pt;margin-top:-9.2pt;width:1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" filled="f" stroked="f">
                  <v:textbox>
                    <w:txbxContent>
                      <w:p w14:paraId="3DB1CE4F" w14:textId="7C54A014" w:rsidR="009E7D37" w:rsidRPr="00D15C03" w:rsidRDefault="009E7D37" w:rsidP="009E7D37">
                        <w:pPr>
                          <w:rPr>
                            <w:rFonts w:ascii="Arial" w:hAnsi="Arial"/>
                            <w:color w:val="7F7F7F" w:themeColor="text1" w:themeTint="80"/>
                            <w:sz w:val="14"/>
                            <w:szCs w:val="14"/>
                          </w:rPr>
                        </w:pPr>
                        <w:r w:rsidRPr="00D15C03">
                          <w:rPr>
                            <w:rFonts w:ascii="Arial" w:hAnsi="Arial"/>
                            <w:color w:val="7F7F7F" w:themeColor="text1" w:themeTint="80"/>
                            <w:sz w:val="14"/>
                            <w:szCs w:val="14"/>
                          </w:rPr>
                          <w:t xml:space="preserve">Registered in England </w:t>
                        </w:r>
                        <w:r>
                          <w:rPr>
                            <w:rFonts w:ascii="Arial" w:hAnsi="Arial"/>
                            <w:color w:val="7F7F7F" w:themeColor="text1" w:themeTint="80"/>
                            <w:sz w:val="14"/>
                            <w:szCs w:val="14"/>
                          </w:rPr>
                          <w:br/>
                        </w:r>
                        <w:r w:rsidRPr="00D15C03">
                          <w:rPr>
                            <w:rFonts w:ascii="Arial" w:hAnsi="Arial"/>
                            <w:color w:val="7F7F7F" w:themeColor="text1" w:themeTint="80"/>
                            <w:sz w:val="14"/>
                            <w:szCs w:val="14"/>
                          </w:rPr>
                          <w:t xml:space="preserve">and Wales No. </w:t>
                        </w:r>
                        <w:r w:rsidR="007A73F3">
                          <w:rPr>
                            <w:rFonts w:ascii="Arial" w:hAnsi="Arial"/>
                            <w:color w:val="7F7F7F" w:themeColor="text1" w:themeTint="80"/>
                            <w:sz w:val="14"/>
                            <w:szCs w:val="14"/>
                          </w:rPr>
                          <w:t>0</w:t>
                        </w:r>
                        <w:r w:rsidRPr="00D15C03">
                          <w:rPr>
                            <w:rFonts w:ascii="Arial" w:hAnsi="Arial"/>
                            <w:color w:val="7F7F7F" w:themeColor="text1" w:themeTint="80"/>
                            <w:sz w:val="14"/>
                            <w:szCs w:val="14"/>
                          </w:rPr>
                          <w:t>7330725</w:t>
                        </w:r>
                      </w:p>
                      <w:p w14:paraId="4A51217B" w14:textId="70D7924C" w:rsidR="001765B7" w:rsidRPr="00D15C03" w:rsidRDefault="001765B7" w:rsidP="001765B7">
                        <w:pPr>
                          <w:rPr>
                            <w:rFonts w:ascii="Arial" w:hAnsi="Arial"/>
                            <w:color w:val="7F7F7F" w:themeColor="text1" w:themeTint="80"/>
                            <w:sz w:val="14"/>
                            <w:szCs w:val="14"/>
                          </w:rPr>
                        </w:pPr>
                      </w:p>
                    </w:txbxContent>
                  </v:textbox>
                </v:shape>
              </w:pict>
            </mc:Fallback>
          </mc:AlternateContent>
        </w:r>
        <w:r w:rsidRPr="001765B7">
          <w:rPr>
            <w:noProof/>
            <w:lang w:eastAsia="en-GB"/>
          </w:rPr>
          <mc:AlternateContent>
            <mc:Choice Requires="wps">
              <w:drawing>
                <wp:anchor distT="0" distB="0" distL="114300" distR="114300" simplePos="0" relativeHeight="251662336" behindDoc="0" locked="0" layoutInCell="1" allowOverlap="1" wp14:anchorId="539153FB" wp14:editId="1402813A">
                  <wp:simplePos x="0" y="0"/>
                  <wp:positionH relativeFrom="column">
                    <wp:posOffset>-685800</wp:posOffset>
                  </wp:positionH>
                  <wp:positionV relativeFrom="paragraph">
                    <wp:posOffset>-116840</wp:posOffset>
                  </wp:positionV>
                  <wp:extent cx="1485265" cy="3429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2900"/>
                          </a:xfrm>
                          <a:prstGeom prst="rect">
                            <a:avLst/>
                          </a:prstGeom>
                          <a:noFill/>
                          <a:ln w="9525">
                            <a:noFill/>
                            <a:miter lim="800000"/>
                            <a:headEnd/>
                            <a:tailEnd/>
                          </a:ln>
                        </wps:spPr>
                        <wps:txbx>
                          <w:txbxContent>
                            <w:p w14:paraId="4DD9CDE8" w14:textId="5651AA7A" w:rsidR="001765B7" w:rsidRPr="00D15C03" w:rsidRDefault="009E7D37" w:rsidP="001765B7">
                              <w:pPr>
                                <w:rPr>
                                  <w:rFonts w:ascii="Arial" w:hAnsi="Arial"/>
                                  <w:color w:val="7F7F7F" w:themeColor="text1" w:themeTint="80"/>
                                  <w:sz w:val="14"/>
                                  <w:szCs w:val="14"/>
                                </w:rPr>
                              </w:pPr>
                              <w:r w:rsidRPr="009E7D37">
                                <w:rPr>
                                  <w:rFonts w:ascii="Arial" w:hAnsi="Arial"/>
                                  <w:color w:val="7F7F7F" w:themeColor="text1" w:themeTint="80"/>
                                  <w:sz w:val="14"/>
                                  <w:szCs w:val="14"/>
                                </w:rPr>
                                <w:t>Regulated by the Financial Conduct Authority</w:t>
                              </w:r>
                              <w:r w:rsidR="001765B7" w:rsidRPr="00D15C03">
                                <w:rPr>
                                  <w:rFonts w:ascii="Arial" w:hAnsi="Arial"/>
                                  <w:color w:val="7F7F7F" w:themeColor="text1" w:themeTint="80"/>
                                  <w:sz w:val="14"/>
                                  <w:szCs w:val="14"/>
                                </w:rPr>
                                <w:t xml:space="preserve">.  </w:t>
                              </w:r>
                            </w:p>
                            <w:p w14:paraId="6CAB4C3E" w14:textId="308DA2A7" w:rsidR="001765B7" w:rsidRPr="00D15C03" w:rsidRDefault="001765B7" w:rsidP="001765B7">
                              <w:pPr>
                                <w:rPr>
                                  <w:rFonts w:ascii="Arial" w:hAnsi="Arial"/>
                                  <w:color w:val="7F7F7F" w:themeColor="text1" w:themeTint="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53FB" id="_x0000_s1029" type="#_x0000_t202" style="position:absolute;left:0;text-align:left;margin-left:-54pt;margin-top:-9.2pt;width:116.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" filled="f" stroked="f">
                  <v:textbox>
                    <w:txbxContent>
                      <w:p w14:paraId="4DD9CDE8" w14:textId="5651AA7A" w:rsidR="001765B7" w:rsidRPr="00D15C03" w:rsidRDefault="009E7D37" w:rsidP="001765B7">
                        <w:pPr>
                          <w:rPr>
                            <w:rFonts w:ascii="Arial" w:hAnsi="Arial"/>
                            <w:color w:val="7F7F7F" w:themeColor="text1" w:themeTint="80"/>
                            <w:sz w:val="14"/>
                            <w:szCs w:val="14"/>
                          </w:rPr>
                        </w:pPr>
                        <w:r w:rsidRPr="009E7D37">
                          <w:rPr>
                            <w:rFonts w:ascii="Arial" w:hAnsi="Arial"/>
                            <w:color w:val="7F7F7F" w:themeColor="text1" w:themeTint="80"/>
                            <w:sz w:val="14"/>
                            <w:szCs w:val="14"/>
                          </w:rPr>
                          <w:t>Regulated by the Financial Conduct Authority</w:t>
                        </w:r>
                        <w:r w:rsidR="001765B7" w:rsidRPr="00D15C03">
                          <w:rPr>
                            <w:rFonts w:ascii="Arial" w:hAnsi="Arial"/>
                            <w:color w:val="7F7F7F" w:themeColor="text1" w:themeTint="80"/>
                            <w:sz w:val="14"/>
                            <w:szCs w:val="14"/>
                          </w:rPr>
                          <w:t xml:space="preserve">.  </w:t>
                        </w:r>
                      </w:p>
                      <w:p w14:paraId="6CAB4C3E" w14:textId="308DA2A7" w:rsidR="001765B7" w:rsidRPr="00D15C03" w:rsidRDefault="001765B7" w:rsidP="001765B7">
                        <w:pPr>
                          <w:rPr>
                            <w:rFonts w:ascii="Arial" w:hAnsi="Arial"/>
                            <w:color w:val="7F7F7F" w:themeColor="text1" w:themeTint="80"/>
                            <w:sz w:val="14"/>
                            <w:szCs w:val="14"/>
                          </w:rPr>
                        </w:pPr>
                      </w:p>
                    </w:txbxContent>
                  </v:textbox>
                </v:shape>
              </w:pict>
            </mc:Fallback>
          </mc:AlternateContent>
        </w:r>
        <w:r w:rsidR="00F03385" w:rsidRPr="001765B7">
          <w:rPr>
            <w:rFonts w:ascii="Arial" w:hAnsi="Arial" w:cs="Arial"/>
            <w:color w:val="4F6228" w:themeColor="accent3" w:themeShade="80"/>
            <w:sz w:val="16"/>
            <w:szCs w:val="16"/>
          </w:rPr>
          <w:t xml:space="preserve">Page | </w:t>
        </w:r>
        <w:r w:rsidR="00F03385" w:rsidRPr="001765B7">
          <w:rPr>
            <w:rFonts w:ascii="Arial" w:hAnsi="Arial" w:cs="Arial"/>
            <w:color w:val="4F6228" w:themeColor="accent3" w:themeShade="80"/>
            <w:sz w:val="16"/>
            <w:szCs w:val="16"/>
          </w:rPr>
          <w:fldChar w:fldCharType="begin"/>
        </w:r>
        <w:r w:rsidR="00F03385" w:rsidRPr="001765B7">
          <w:rPr>
            <w:rFonts w:ascii="Arial" w:hAnsi="Arial" w:cs="Arial"/>
            <w:color w:val="4F6228" w:themeColor="accent3" w:themeShade="80"/>
            <w:sz w:val="16"/>
            <w:szCs w:val="16"/>
          </w:rPr>
          <w:instrText xml:space="preserve"> PAGE   \* MERGEFORMAT </w:instrText>
        </w:r>
        <w:r w:rsidR="00F03385" w:rsidRPr="001765B7">
          <w:rPr>
            <w:rFonts w:ascii="Arial" w:hAnsi="Arial" w:cs="Arial"/>
            <w:color w:val="4F6228" w:themeColor="accent3" w:themeShade="80"/>
            <w:sz w:val="16"/>
            <w:szCs w:val="16"/>
          </w:rPr>
          <w:fldChar w:fldCharType="separate"/>
        </w:r>
        <w:r w:rsidR="00D9028E">
          <w:rPr>
            <w:rFonts w:ascii="Arial" w:hAnsi="Arial" w:cs="Arial"/>
            <w:noProof/>
            <w:color w:val="4F6228" w:themeColor="accent3" w:themeShade="80"/>
            <w:sz w:val="16"/>
            <w:szCs w:val="16"/>
          </w:rPr>
          <w:t>1</w:t>
        </w:r>
        <w:r w:rsidR="00F03385" w:rsidRPr="001765B7">
          <w:rPr>
            <w:rFonts w:ascii="Arial" w:hAnsi="Arial" w:cs="Arial"/>
            <w:color w:val="4F6228" w:themeColor="accent3" w:themeShade="80"/>
            <w:sz w:val="16"/>
            <w:szCs w:val="16"/>
          </w:rPr>
          <w:fldChar w:fldCharType="end"/>
        </w:r>
        <w:r w:rsidR="00F03385" w:rsidRPr="001765B7">
          <w:rPr>
            <w:color w:val="76923C" w:themeColor="accent3" w:themeShade="BF"/>
          </w:rPr>
          <w:t xml:space="preserve"> </w:t>
        </w:r>
      </w:p>
    </w:sdtContent>
  </w:sdt>
  <w:p w14:paraId="2F9B17B1" w14:textId="77777777" w:rsidR="00F03385" w:rsidRDefault="00F03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D75F" w14:textId="77777777" w:rsidR="00027DED" w:rsidRDefault="00027DED" w:rsidP="00FC60DC">
      <w:r>
        <w:separator/>
      </w:r>
    </w:p>
  </w:footnote>
  <w:footnote w:type="continuationSeparator" w:id="0">
    <w:p w14:paraId="6E8D5673" w14:textId="77777777" w:rsidR="00027DED" w:rsidRDefault="00027DED" w:rsidP="00FC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AEA1" w14:textId="72BED84A" w:rsidR="00F03385" w:rsidRPr="006D0F77" w:rsidRDefault="00CF7BD4" w:rsidP="005F7EED">
    <w:pPr>
      <w:rPr>
        <w:rFonts w:asciiTheme="majorHAnsi" w:hAnsiTheme="majorHAnsi"/>
        <w:color w:val="76923C" w:themeColor="accent3" w:themeShade="BF"/>
        <w:szCs w:val="18"/>
      </w:rPr>
    </w:pPr>
    <w:r w:rsidRPr="001765B7">
      <w:rPr>
        <w:noProof/>
        <w:lang w:eastAsia="en-GB"/>
      </w:rPr>
      <mc:AlternateContent>
        <mc:Choice Requires="wps">
          <w:drawing>
            <wp:anchor distT="0" distB="0" distL="114300" distR="114300" simplePos="0" relativeHeight="251660288" behindDoc="0" locked="0" layoutInCell="1" allowOverlap="1" wp14:anchorId="741448E4" wp14:editId="099E63B8">
              <wp:simplePos x="0" y="0"/>
              <wp:positionH relativeFrom="column">
                <wp:posOffset>-685800</wp:posOffset>
              </wp:positionH>
              <wp:positionV relativeFrom="paragraph">
                <wp:posOffset>-155575</wp:posOffset>
              </wp:positionV>
              <wp:extent cx="1592580" cy="858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58520"/>
                      </a:xfrm>
                      <a:prstGeom prst="rect">
                        <a:avLst/>
                      </a:prstGeom>
                      <a:noFill/>
                      <a:ln w="9525">
                        <a:noFill/>
                        <a:miter lim="800000"/>
                        <a:headEnd/>
                        <a:tailEnd/>
                      </a:ln>
                    </wps:spPr>
                    <wps:txbx>
                      <w:txbxContent>
                        <w:p w14:paraId="7520D76D" w14:textId="77777777"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Linear Investments Limited</w:t>
                          </w:r>
                        </w:p>
                        <w:p w14:paraId="07F56F28" w14:textId="2375C8A1" w:rsidR="001765B7" w:rsidRPr="00783A52" w:rsidRDefault="00CF7BD4" w:rsidP="001765B7">
                          <w:pPr>
                            <w:rPr>
                              <w:rFonts w:ascii="Arial" w:hAnsi="Arial"/>
                              <w:color w:val="7F7F7F" w:themeColor="text1" w:themeTint="80"/>
                              <w:sz w:val="16"/>
                              <w:szCs w:val="16"/>
                            </w:rPr>
                          </w:pPr>
                          <w:r>
                            <w:rPr>
                              <w:rFonts w:ascii="Arial" w:hAnsi="Arial"/>
                              <w:color w:val="7F7F7F" w:themeColor="text1" w:themeTint="80"/>
                              <w:sz w:val="16"/>
                              <w:szCs w:val="16"/>
                            </w:rPr>
                            <w:t>Mermaid House, 2 Puddle Dock</w:t>
                          </w:r>
                        </w:p>
                        <w:p w14:paraId="6DB5FD10" w14:textId="33C6D074"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 xml:space="preserve">London </w:t>
                          </w:r>
                          <w:r w:rsidR="00CF7BD4">
                            <w:rPr>
                              <w:rFonts w:ascii="Arial" w:hAnsi="Arial"/>
                              <w:color w:val="7F7F7F" w:themeColor="text1" w:themeTint="80"/>
                              <w:sz w:val="16"/>
                              <w:szCs w:val="16"/>
                            </w:rPr>
                            <w:t xml:space="preserve">EC4V 3DB </w:t>
                          </w:r>
                        </w:p>
                        <w:p w14:paraId="79BA3D1B" w14:textId="4190B79B" w:rsidR="001765B7" w:rsidRPr="00783A52" w:rsidRDefault="009E7D37" w:rsidP="001765B7">
                          <w:pPr>
                            <w:rPr>
                              <w:rFonts w:ascii="Arial" w:hAnsi="Arial"/>
                              <w:color w:val="7F7F7F" w:themeColor="text1" w:themeTint="80"/>
                              <w:sz w:val="16"/>
                              <w:szCs w:val="16"/>
                            </w:rPr>
                          </w:pPr>
                          <w:r>
                            <w:rPr>
                              <w:rFonts w:ascii="Arial" w:hAnsi="Arial"/>
                              <w:color w:val="7F7F7F" w:themeColor="text1" w:themeTint="80"/>
                              <w:sz w:val="16"/>
                              <w:szCs w:val="16"/>
                            </w:rPr>
                            <w:t>Uni</w:t>
                          </w:r>
                          <w:r w:rsidR="001765B7" w:rsidRPr="00783A52">
                            <w:rPr>
                              <w:rFonts w:ascii="Arial" w:hAnsi="Arial"/>
                              <w:color w:val="7F7F7F" w:themeColor="text1" w:themeTint="80"/>
                              <w:sz w:val="16"/>
                              <w:szCs w:val="16"/>
                            </w:rPr>
                            <w:t>ted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448E4" id="_x0000_t202" coordsize="21600,21600" o:spt="202" path="m,l,21600r21600,l21600,xe">
              <v:stroke joinstyle="miter"/>
              <v:path gradientshapeok="t" o:connecttype="rect"/>
            </v:shapetype>
            <v:shape id="Text Box 2" o:spid="_x0000_s1026" type="#_x0000_t202" style="position:absolute;margin-left:-54pt;margin-top:-12.25pt;width:125.4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" filled="f" stroked="f">
              <v:textbox>
                <w:txbxContent>
                  <w:p w14:paraId="7520D76D" w14:textId="77777777"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Linear Investments Limited</w:t>
                    </w:r>
                  </w:p>
                  <w:p w14:paraId="07F56F28" w14:textId="2375C8A1" w:rsidR="001765B7" w:rsidRPr="00783A52" w:rsidRDefault="00CF7BD4" w:rsidP="001765B7">
                    <w:pPr>
                      <w:rPr>
                        <w:rFonts w:ascii="Arial" w:hAnsi="Arial"/>
                        <w:color w:val="7F7F7F" w:themeColor="text1" w:themeTint="80"/>
                        <w:sz w:val="16"/>
                        <w:szCs w:val="16"/>
                      </w:rPr>
                    </w:pPr>
                    <w:r>
                      <w:rPr>
                        <w:rFonts w:ascii="Arial" w:hAnsi="Arial"/>
                        <w:color w:val="7F7F7F" w:themeColor="text1" w:themeTint="80"/>
                        <w:sz w:val="16"/>
                        <w:szCs w:val="16"/>
                      </w:rPr>
                      <w:t>Mermaid House, 2 Puddle Dock</w:t>
                    </w:r>
                  </w:p>
                  <w:p w14:paraId="6DB5FD10" w14:textId="33C6D074" w:rsidR="001765B7" w:rsidRPr="00783A52" w:rsidRDefault="001765B7" w:rsidP="001765B7">
                    <w:pPr>
                      <w:rPr>
                        <w:rFonts w:ascii="Arial" w:hAnsi="Arial"/>
                        <w:color w:val="7F7F7F" w:themeColor="text1" w:themeTint="80"/>
                        <w:sz w:val="16"/>
                        <w:szCs w:val="16"/>
                      </w:rPr>
                    </w:pPr>
                    <w:r w:rsidRPr="00783A52">
                      <w:rPr>
                        <w:rFonts w:ascii="Arial" w:hAnsi="Arial"/>
                        <w:color w:val="7F7F7F" w:themeColor="text1" w:themeTint="80"/>
                        <w:sz w:val="16"/>
                        <w:szCs w:val="16"/>
                      </w:rPr>
                      <w:t xml:space="preserve">London </w:t>
                    </w:r>
                    <w:r w:rsidR="00CF7BD4">
                      <w:rPr>
                        <w:rFonts w:ascii="Arial" w:hAnsi="Arial"/>
                        <w:color w:val="7F7F7F" w:themeColor="text1" w:themeTint="80"/>
                        <w:sz w:val="16"/>
                        <w:szCs w:val="16"/>
                      </w:rPr>
                      <w:t xml:space="preserve">EC4V 3DB </w:t>
                    </w:r>
                  </w:p>
                  <w:p w14:paraId="79BA3D1B" w14:textId="4190B79B" w:rsidR="001765B7" w:rsidRPr="00783A52" w:rsidRDefault="009E7D37" w:rsidP="001765B7">
                    <w:pPr>
                      <w:rPr>
                        <w:rFonts w:ascii="Arial" w:hAnsi="Arial"/>
                        <w:color w:val="7F7F7F" w:themeColor="text1" w:themeTint="80"/>
                        <w:sz w:val="16"/>
                        <w:szCs w:val="16"/>
                      </w:rPr>
                    </w:pPr>
                    <w:r>
                      <w:rPr>
                        <w:rFonts w:ascii="Arial" w:hAnsi="Arial"/>
                        <w:color w:val="7F7F7F" w:themeColor="text1" w:themeTint="80"/>
                        <w:sz w:val="16"/>
                        <w:szCs w:val="16"/>
                      </w:rPr>
                      <w:t>Uni</w:t>
                    </w:r>
                    <w:r w:rsidR="001765B7" w:rsidRPr="00783A52">
                      <w:rPr>
                        <w:rFonts w:ascii="Arial" w:hAnsi="Arial"/>
                        <w:color w:val="7F7F7F" w:themeColor="text1" w:themeTint="80"/>
                        <w:sz w:val="16"/>
                        <w:szCs w:val="16"/>
                      </w:rPr>
                      <w:t>ted Kingdom</w:t>
                    </w:r>
                  </w:p>
                </w:txbxContent>
              </v:textbox>
            </v:shape>
          </w:pict>
        </mc:Fallback>
      </mc:AlternateContent>
    </w:r>
    <w:r w:rsidR="00F03385">
      <w:rPr>
        <w:rFonts w:asciiTheme="majorHAnsi" w:hAnsiTheme="majorHAnsi"/>
        <w:b/>
        <w:color w:val="76923C" w:themeColor="accent3" w:themeShade="BF"/>
        <w:sz w:val="28"/>
        <w:szCs w:val="28"/>
      </w:rPr>
      <w:t xml:space="preserve">                                                                </w:t>
    </w:r>
  </w:p>
  <w:p w14:paraId="7DD1114E" w14:textId="77777777" w:rsidR="00F03385" w:rsidRDefault="00F03385"/>
  <w:p w14:paraId="5891CDBA" w14:textId="3F747BD1" w:rsidR="00F03385" w:rsidRDefault="001765B7" w:rsidP="001765B7">
    <w:r w:rsidRPr="001765B7">
      <w:rPr>
        <w:noProof/>
        <w:lang w:eastAsia="en-GB"/>
      </w:rPr>
      <w:drawing>
        <wp:anchor distT="0" distB="0" distL="114300" distR="114300" simplePos="0" relativeHeight="251659264" behindDoc="1" locked="0" layoutInCell="1" allowOverlap="1" wp14:anchorId="3F21672E" wp14:editId="69E8A21D">
          <wp:simplePos x="0" y="0"/>
          <wp:positionH relativeFrom="column">
            <wp:posOffset>-914400</wp:posOffset>
          </wp:positionH>
          <wp:positionV relativeFrom="paragraph">
            <wp:posOffset>-737235</wp:posOffset>
          </wp:positionV>
          <wp:extent cx="7560000" cy="1473199"/>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letter-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3199"/>
                  </a:xfrm>
                  <a:prstGeom prst="rect">
                    <a:avLst/>
                  </a:prstGeom>
                  <a:ln>
                    <a:noFill/>
                  </a:ln>
                </pic:spPr>
              </pic:pic>
            </a:graphicData>
          </a:graphic>
          <wp14:sizeRelH relativeFrom="page">
            <wp14:pctWidth>0</wp14:pctWidth>
          </wp14:sizeRelH>
          <wp14:sizeRelV relativeFrom="page">
            <wp14:pctHeight>0</wp14:pctHeight>
          </wp14:sizeRelV>
        </wp:anchor>
      </w:drawing>
    </w:r>
    <w:r w:rsidRPr="001765B7">
      <w:rPr>
        <w:noProof/>
        <w:lang w:eastAsia="en-GB"/>
      </w:rPr>
      <mc:AlternateContent>
        <mc:Choice Requires="wps">
          <w:drawing>
            <wp:anchor distT="0" distB="0" distL="114300" distR="114300" simplePos="0" relativeHeight="251661312" behindDoc="0" locked="0" layoutInCell="1" allowOverlap="1" wp14:anchorId="4DF54AB1" wp14:editId="563F4044">
              <wp:simplePos x="0" y="0"/>
              <wp:positionH relativeFrom="column">
                <wp:posOffset>813435</wp:posOffset>
              </wp:positionH>
              <wp:positionV relativeFrom="paragraph">
                <wp:posOffset>-508635</wp:posOffset>
              </wp:positionV>
              <wp:extent cx="1485265" cy="8585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858520"/>
                      </a:xfrm>
                      <a:prstGeom prst="rect">
                        <a:avLst/>
                      </a:prstGeom>
                      <a:noFill/>
                      <a:ln w="9525">
                        <a:noFill/>
                        <a:miter lim="800000"/>
                        <a:headEnd/>
                        <a:tailEnd/>
                      </a:ln>
                    </wps:spPr>
                    <wps:txbx>
                      <w:txbxContent>
                        <w:p w14:paraId="78C71D08" w14:textId="7D4BF094"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 xml:space="preserve">T: </w:t>
                          </w:r>
                          <w:r w:rsidR="009E7D37" w:rsidRPr="00803F43">
                            <w:rPr>
                              <w:rFonts w:ascii="Arial" w:hAnsi="Arial"/>
                              <w:color w:val="7F7F7F" w:themeColor="text1" w:themeTint="80"/>
                              <w:sz w:val="16"/>
                              <w:szCs w:val="16"/>
                              <w:lang w:val="de-DE"/>
                            </w:rPr>
                            <w:t>+44 20 3603 9800</w:t>
                          </w:r>
                        </w:p>
                        <w:p w14:paraId="09B1AF39"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info@linearinvestment.com</w:t>
                          </w:r>
                        </w:p>
                        <w:p w14:paraId="009BE62B" w14:textId="77777777" w:rsidR="001765B7" w:rsidRPr="00803F43" w:rsidRDefault="001765B7" w:rsidP="001765B7">
                          <w:pPr>
                            <w:rPr>
                              <w:rFonts w:ascii="Arial" w:hAnsi="Arial"/>
                              <w:color w:val="7F7F7F" w:themeColor="text1" w:themeTint="80"/>
                              <w:sz w:val="16"/>
                              <w:szCs w:val="16"/>
                              <w:lang w:val="de-DE"/>
                            </w:rPr>
                          </w:pPr>
                        </w:p>
                        <w:p w14:paraId="77D9A588"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www.linearinvestment.com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4AB1" id="_x0000_s1027" type="#_x0000_t202" style="position:absolute;margin-left:64.05pt;margin-top:-40.05pt;width:116.95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" filled="f" stroked="f">
              <v:textbox>
                <w:txbxContent>
                  <w:p w14:paraId="78C71D08" w14:textId="7D4BF094"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 xml:space="preserve">T: </w:t>
                    </w:r>
                    <w:r w:rsidR="009E7D37" w:rsidRPr="00803F43">
                      <w:rPr>
                        <w:rFonts w:ascii="Arial" w:hAnsi="Arial"/>
                        <w:color w:val="7F7F7F" w:themeColor="text1" w:themeTint="80"/>
                        <w:sz w:val="16"/>
                        <w:szCs w:val="16"/>
                        <w:lang w:val="de-DE"/>
                      </w:rPr>
                      <w:t>+44 20 3603 9800</w:t>
                    </w:r>
                  </w:p>
                  <w:p w14:paraId="09B1AF39"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info@linearinvestment.com</w:t>
                    </w:r>
                  </w:p>
                  <w:p w14:paraId="009BE62B" w14:textId="77777777" w:rsidR="001765B7" w:rsidRPr="00803F43" w:rsidRDefault="001765B7" w:rsidP="001765B7">
                    <w:pPr>
                      <w:rPr>
                        <w:rFonts w:ascii="Arial" w:hAnsi="Arial"/>
                        <w:color w:val="7F7F7F" w:themeColor="text1" w:themeTint="80"/>
                        <w:sz w:val="16"/>
                        <w:szCs w:val="16"/>
                        <w:lang w:val="de-DE"/>
                      </w:rPr>
                    </w:pPr>
                  </w:p>
                  <w:p w14:paraId="77D9A588" w14:textId="77777777" w:rsidR="001765B7" w:rsidRPr="00803F43" w:rsidRDefault="001765B7" w:rsidP="001765B7">
                    <w:pPr>
                      <w:rPr>
                        <w:rFonts w:ascii="Arial" w:hAnsi="Arial"/>
                        <w:color w:val="7F7F7F" w:themeColor="text1" w:themeTint="80"/>
                        <w:sz w:val="16"/>
                        <w:szCs w:val="16"/>
                        <w:lang w:val="de-DE"/>
                      </w:rPr>
                    </w:pPr>
                    <w:r w:rsidRPr="00803F43">
                      <w:rPr>
                        <w:rFonts w:ascii="Arial" w:hAnsi="Arial"/>
                        <w:color w:val="7F7F7F" w:themeColor="text1" w:themeTint="80"/>
                        <w:sz w:val="16"/>
                        <w:szCs w:val="16"/>
                        <w:lang w:val="de-DE"/>
                      </w:rPr>
                      <w:t>www.linearinvestment.com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B630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B07C5A"/>
    <w:multiLevelType w:val="hybridMultilevel"/>
    <w:tmpl w:val="0B2C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A4531"/>
    <w:multiLevelType w:val="multilevel"/>
    <w:tmpl w:val="B72A79B0"/>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bCs/>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B1099"/>
    <w:multiLevelType w:val="hybridMultilevel"/>
    <w:tmpl w:val="ADF89FB2"/>
    <w:lvl w:ilvl="0" w:tplc="DC008B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AE205D"/>
    <w:multiLevelType w:val="multilevel"/>
    <w:tmpl w:val="91EA5230"/>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B1623C5"/>
    <w:multiLevelType w:val="hybridMultilevel"/>
    <w:tmpl w:val="0B4E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04815"/>
    <w:multiLevelType w:val="hybridMultilevel"/>
    <w:tmpl w:val="C67C383E"/>
    <w:lvl w:ilvl="0" w:tplc="F10AA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2145C"/>
    <w:multiLevelType w:val="hybridMultilevel"/>
    <w:tmpl w:val="AC280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06ECA"/>
    <w:multiLevelType w:val="hybridMultilevel"/>
    <w:tmpl w:val="3B98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6564B"/>
    <w:multiLevelType w:val="hybridMultilevel"/>
    <w:tmpl w:val="98EC460C"/>
    <w:lvl w:ilvl="0" w:tplc="A5A2E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15D18"/>
    <w:multiLevelType w:val="hybridMultilevel"/>
    <w:tmpl w:val="C7A819D0"/>
    <w:lvl w:ilvl="0" w:tplc="35765852">
      <w:start w:val="11"/>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78F34ED0"/>
    <w:multiLevelType w:val="hybridMultilevel"/>
    <w:tmpl w:val="83E0BD9A"/>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Wingdings"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Wingdings"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Wingdings" w:hint="default"/>
      </w:rPr>
    </w:lvl>
    <w:lvl w:ilvl="8" w:tplc="08090005" w:tentative="1">
      <w:start w:val="1"/>
      <w:numFmt w:val="bullet"/>
      <w:lvlText w:val=""/>
      <w:lvlJc w:val="left"/>
      <w:pPr>
        <w:tabs>
          <w:tab w:val="num" w:pos="7538"/>
        </w:tabs>
        <w:ind w:left="7538" w:hanging="360"/>
      </w:pPr>
      <w:rPr>
        <w:rFonts w:ascii="Wingdings" w:hAnsi="Wingdings" w:hint="default"/>
      </w:rPr>
    </w:lvl>
  </w:abstractNum>
  <w:num w:numId="1" w16cid:durableId="1347512875">
    <w:abstractNumId w:val="11"/>
  </w:num>
  <w:num w:numId="2" w16cid:durableId="1940798657">
    <w:abstractNumId w:val="0"/>
  </w:num>
  <w:num w:numId="3" w16cid:durableId="520751135">
    <w:abstractNumId w:val="3"/>
  </w:num>
  <w:num w:numId="4" w16cid:durableId="416442681">
    <w:abstractNumId w:val="6"/>
  </w:num>
  <w:num w:numId="5" w16cid:durableId="555509505">
    <w:abstractNumId w:val="5"/>
  </w:num>
  <w:num w:numId="6" w16cid:durableId="704135358">
    <w:abstractNumId w:val="7"/>
  </w:num>
  <w:num w:numId="7" w16cid:durableId="267856222">
    <w:abstractNumId w:val="9"/>
  </w:num>
  <w:num w:numId="8" w16cid:durableId="1114136271">
    <w:abstractNumId w:val="2"/>
  </w:num>
  <w:num w:numId="9" w16cid:durableId="1926959978">
    <w:abstractNumId w:val="1"/>
  </w:num>
  <w:num w:numId="10" w16cid:durableId="638614796">
    <w:abstractNumId w:val="4"/>
  </w:num>
  <w:num w:numId="11" w16cid:durableId="823396816">
    <w:abstractNumId w:val="8"/>
  </w:num>
  <w:num w:numId="12" w16cid:durableId="2025937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DC"/>
    <w:rsid w:val="000116EA"/>
    <w:rsid w:val="00027DED"/>
    <w:rsid w:val="000337FA"/>
    <w:rsid w:val="00045013"/>
    <w:rsid w:val="00051F65"/>
    <w:rsid w:val="00065711"/>
    <w:rsid w:val="000663C7"/>
    <w:rsid w:val="0007406F"/>
    <w:rsid w:val="00076051"/>
    <w:rsid w:val="00090779"/>
    <w:rsid w:val="000A0B4F"/>
    <w:rsid w:val="000B0977"/>
    <w:rsid w:val="000C04AE"/>
    <w:rsid w:val="000C6D29"/>
    <w:rsid w:val="000E2988"/>
    <w:rsid w:val="000F3935"/>
    <w:rsid w:val="00102710"/>
    <w:rsid w:val="00112574"/>
    <w:rsid w:val="001155D2"/>
    <w:rsid w:val="0012038C"/>
    <w:rsid w:val="001371E7"/>
    <w:rsid w:val="001425C4"/>
    <w:rsid w:val="001572FB"/>
    <w:rsid w:val="00157665"/>
    <w:rsid w:val="00164F4C"/>
    <w:rsid w:val="001765B7"/>
    <w:rsid w:val="0018177E"/>
    <w:rsid w:val="001948C2"/>
    <w:rsid w:val="00196A7F"/>
    <w:rsid w:val="00196D62"/>
    <w:rsid w:val="001A56AA"/>
    <w:rsid w:val="001B10CF"/>
    <w:rsid w:val="001B230D"/>
    <w:rsid w:val="001C53DC"/>
    <w:rsid w:val="001D121D"/>
    <w:rsid w:val="001D1CBB"/>
    <w:rsid w:val="001F7A3C"/>
    <w:rsid w:val="002053A1"/>
    <w:rsid w:val="0023088E"/>
    <w:rsid w:val="00230BA3"/>
    <w:rsid w:val="00235848"/>
    <w:rsid w:val="002377AE"/>
    <w:rsid w:val="00251F4F"/>
    <w:rsid w:val="002575FD"/>
    <w:rsid w:val="00261BC8"/>
    <w:rsid w:val="002659FE"/>
    <w:rsid w:val="00265C5D"/>
    <w:rsid w:val="00290D82"/>
    <w:rsid w:val="0029545B"/>
    <w:rsid w:val="002A4060"/>
    <w:rsid w:val="002A5123"/>
    <w:rsid w:val="002A6047"/>
    <w:rsid w:val="002B4BD3"/>
    <w:rsid w:val="002C46A4"/>
    <w:rsid w:val="002D1EDA"/>
    <w:rsid w:val="002F4011"/>
    <w:rsid w:val="002F461E"/>
    <w:rsid w:val="00311B3C"/>
    <w:rsid w:val="0031451B"/>
    <w:rsid w:val="00345407"/>
    <w:rsid w:val="00351C31"/>
    <w:rsid w:val="00360945"/>
    <w:rsid w:val="003611EB"/>
    <w:rsid w:val="003677B5"/>
    <w:rsid w:val="00384814"/>
    <w:rsid w:val="00395831"/>
    <w:rsid w:val="003A5177"/>
    <w:rsid w:val="003B22D0"/>
    <w:rsid w:val="003D2CA9"/>
    <w:rsid w:val="003D41F6"/>
    <w:rsid w:val="003D59ED"/>
    <w:rsid w:val="003D680A"/>
    <w:rsid w:val="003F0A40"/>
    <w:rsid w:val="003F39BE"/>
    <w:rsid w:val="00405FEF"/>
    <w:rsid w:val="00433974"/>
    <w:rsid w:val="0043442D"/>
    <w:rsid w:val="00442F98"/>
    <w:rsid w:val="00471B8D"/>
    <w:rsid w:val="00472A2C"/>
    <w:rsid w:val="00477C9E"/>
    <w:rsid w:val="004916B4"/>
    <w:rsid w:val="004D4A9F"/>
    <w:rsid w:val="005003A4"/>
    <w:rsid w:val="00500B30"/>
    <w:rsid w:val="005239C9"/>
    <w:rsid w:val="00526FA4"/>
    <w:rsid w:val="00556C21"/>
    <w:rsid w:val="00563B2B"/>
    <w:rsid w:val="00574406"/>
    <w:rsid w:val="00595FAF"/>
    <w:rsid w:val="00596EF9"/>
    <w:rsid w:val="005970EE"/>
    <w:rsid w:val="005A25B8"/>
    <w:rsid w:val="005A7BA6"/>
    <w:rsid w:val="005A7D7A"/>
    <w:rsid w:val="005B1439"/>
    <w:rsid w:val="005B3459"/>
    <w:rsid w:val="005C4BFE"/>
    <w:rsid w:val="005C79CE"/>
    <w:rsid w:val="005E1053"/>
    <w:rsid w:val="005E7D65"/>
    <w:rsid w:val="005F7EED"/>
    <w:rsid w:val="006034E6"/>
    <w:rsid w:val="00615523"/>
    <w:rsid w:val="006257FB"/>
    <w:rsid w:val="006261A0"/>
    <w:rsid w:val="0063241B"/>
    <w:rsid w:val="00642CBF"/>
    <w:rsid w:val="00684F5E"/>
    <w:rsid w:val="0068630D"/>
    <w:rsid w:val="006A0275"/>
    <w:rsid w:val="006A066D"/>
    <w:rsid w:val="006A2DD9"/>
    <w:rsid w:val="006B3C42"/>
    <w:rsid w:val="006D2CF0"/>
    <w:rsid w:val="006E1A8A"/>
    <w:rsid w:val="006F1F3C"/>
    <w:rsid w:val="006F5E66"/>
    <w:rsid w:val="00713A0C"/>
    <w:rsid w:val="00735491"/>
    <w:rsid w:val="007357CF"/>
    <w:rsid w:val="00751F3B"/>
    <w:rsid w:val="007567D4"/>
    <w:rsid w:val="00760124"/>
    <w:rsid w:val="007A73F3"/>
    <w:rsid w:val="007B2F06"/>
    <w:rsid w:val="007B3FBE"/>
    <w:rsid w:val="007C7DB2"/>
    <w:rsid w:val="007D1FCB"/>
    <w:rsid w:val="007D62CC"/>
    <w:rsid w:val="007E026B"/>
    <w:rsid w:val="00802A51"/>
    <w:rsid w:val="00803F43"/>
    <w:rsid w:val="00807CEA"/>
    <w:rsid w:val="00816642"/>
    <w:rsid w:val="008365F4"/>
    <w:rsid w:val="00856DAC"/>
    <w:rsid w:val="00861BDB"/>
    <w:rsid w:val="00872628"/>
    <w:rsid w:val="008832AE"/>
    <w:rsid w:val="00883700"/>
    <w:rsid w:val="0089244C"/>
    <w:rsid w:val="008B0FED"/>
    <w:rsid w:val="008C5359"/>
    <w:rsid w:val="008D18BA"/>
    <w:rsid w:val="008D2E62"/>
    <w:rsid w:val="008F14A5"/>
    <w:rsid w:val="008F2468"/>
    <w:rsid w:val="0090629E"/>
    <w:rsid w:val="00921B2E"/>
    <w:rsid w:val="00931D66"/>
    <w:rsid w:val="00934651"/>
    <w:rsid w:val="009427BF"/>
    <w:rsid w:val="00942F60"/>
    <w:rsid w:val="00966302"/>
    <w:rsid w:val="009766F1"/>
    <w:rsid w:val="00994F60"/>
    <w:rsid w:val="009963C9"/>
    <w:rsid w:val="0099721F"/>
    <w:rsid w:val="009A4755"/>
    <w:rsid w:val="009A58D4"/>
    <w:rsid w:val="009B6D3E"/>
    <w:rsid w:val="009C3DB5"/>
    <w:rsid w:val="009E146C"/>
    <w:rsid w:val="009E17F0"/>
    <w:rsid w:val="009E7D37"/>
    <w:rsid w:val="009F2F95"/>
    <w:rsid w:val="009F573D"/>
    <w:rsid w:val="00A057F9"/>
    <w:rsid w:val="00A14B85"/>
    <w:rsid w:val="00A22F75"/>
    <w:rsid w:val="00A26144"/>
    <w:rsid w:val="00A31D42"/>
    <w:rsid w:val="00A41C44"/>
    <w:rsid w:val="00A52C44"/>
    <w:rsid w:val="00A54B0E"/>
    <w:rsid w:val="00A55332"/>
    <w:rsid w:val="00A56E55"/>
    <w:rsid w:val="00A633D9"/>
    <w:rsid w:val="00A65CEE"/>
    <w:rsid w:val="00A735F3"/>
    <w:rsid w:val="00AB294E"/>
    <w:rsid w:val="00AC4D19"/>
    <w:rsid w:val="00AE4717"/>
    <w:rsid w:val="00AF3C4F"/>
    <w:rsid w:val="00B1685C"/>
    <w:rsid w:val="00B16ED1"/>
    <w:rsid w:val="00B253FF"/>
    <w:rsid w:val="00B26154"/>
    <w:rsid w:val="00B30729"/>
    <w:rsid w:val="00B340C8"/>
    <w:rsid w:val="00B57CD2"/>
    <w:rsid w:val="00B610C0"/>
    <w:rsid w:val="00B63A8A"/>
    <w:rsid w:val="00B82313"/>
    <w:rsid w:val="00B90406"/>
    <w:rsid w:val="00BB58EB"/>
    <w:rsid w:val="00BB5FE5"/>
    <w:rsid w:val="00BB6557"/>
    <w:rsid w:val="00BC0EE9"/>
    <w:rsid w:val="00BC1985"/>
    <w:rsid w:val="00C13416"/>
    <w:rsid w:val="00C52E09"/>
    <w:rsid w:val="00C54B28"/>
    <w:rsid w:val="00C612D7"/>
    <w:rsid w:val="00C7423C"/>
    <w:rsid w:val="00C74A2D"/>
    <w:rsid w:val="00C7661D"/>
    <w:rsid w:val="00C85341"/>
    <w:rsid w:val="00C92138"/>
    <w:rsid w:val="00C92659"/>
    <w:rsid w:val="00CA02B4"/>
    <w:rsid w:val="00CA3133"/>
    <w:rsid w:val="00CB09C1"/>
    <w:rsid w:val="00CC15C8"/>
    <w:rsid w:val="00CE1720"/>
    <w:rsid w:val="00CE41B5"/>
    <w:rsid w:val="00CE481A"/>
    <w:rsid w:val="00CE7514"/>
    <w:rsid w:val="00CF7BD4"/>
    <w:rsid w:val="00D02080"/>
    <w:rsid w:val="00D03927"/>
    <w:rsid w:val="00D07805"/>
    <w:rsid w:val="00D1359E"/>
    <w:rsid w:val="00D15E6A"/>
    <w:rsid w:val="00D30E6F"/>
    <w:rsid w:val="00D353B0"/>
    <w:rsid w:val="00D35404"/>
    <w:rsid w:val="00D42258"/>
    <w:rsid w:val="00D51D33"/>
    <w:rsid w:val="00D6642A"/>
    <w:rsid w:val="00D6773C"/>
    <w:rsid w:val="00D74180"/>
    <w:rsid w:val="00D9028E"/>
    <w:rsid w:val="00DA2030"/>
    <w:rsid w:val="00DB051C"/>
    <w:rsid w:val="00DC5283"/>
    <w:rsid w:val="00DC7FF6"/>
    <w:rsid w:val="00DE0DDA"/>
    <w:rsid w:val="00DE6EBE"/>
    <w:rsid w:val="00DF5E33"/>
    <w:rsid w:val="00E116B3"/>
    <w:rsid w:val="00E352F1"/>
    <w:rsid w:val="00E54CAA"/>
    <w:rsid w:val="00E67CE2"/>
    <w:rsid w:val="00E730FD"/>
    <w:rsid w:val="00E755E8"/>
    <w:rsid w:val="00E90165"/>
    <w:rsid w:val="00EA05AE"/>
    <w:rsid w:val="00EA10F2"/>
    <w:rsid w:val="00EB6200"/>
    <w:rsid w:val="00EE0A4D"/>
    <w:rsid w:val="00F0177B"/>
    <w:rsid w:val="00F03385"/>
    <w:rsid w:val="00F0648F"/>
    <w:rsid w:val="00F2173F"/>
    <w:rsid w:val="00F43F1F"/>
    <w:rsid w:val="00F45740"/>
    <w:rsid w:val="00F56132"/>
    <w:rsid w:val="00F6659D"/>
    <w:rsid w:val="00F75B45"/>
    <w:rsid w:val="00F957BF"/>
    <w:rsid w:val="00FA48C7"/>
    <w:rsid w:val="00FB47D4"/>
    <w:rsid w:val="00FB7DA6"/>
    <w:rsid w:val="00FC60DC"/>
    <w:rsid w:val="00FD4E65"/>
    <w:rsid w:val="00FD66D0"/>
    <w:rsid w:val="00FF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03D02"/>
  <w15:docId w15:val="{2D2B76DB-6E55-4A97-B2FF-E7ECC309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31"/>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D30E6F"/>
    <w:pPr>
      <w:keepNext/>
      <w:keepLines/>
      <w:spacing w:before="480"/>
      <w:outlineLvl w:val="0"/>
    </w:pPr>
    <w:rPr>
      <w:rFonts w:ascii="Calibri" w:eastAsia="Times New Roman" w:hAnsi="Calibri"/>
      <w:b/>
      <w:bCs/>
      <w:color w:val="345A8A"/>
      <w:sz w:val="32"/>
      <w:szCs w:val="32"/>
      <w:lang w:eastAsia="en-US"/>
    </w:rPr>
  </w:style>
  <w:style w:type="paragraph" w:styleId="Heading2">
    <w:name w:val="heading 2"/>
    <w:basedOn w:val="Normal"/>
    <w:next w:val="Normal"/>
    <w:link w:val="Heading2Char"/>
    <w:uiPriority w:val="9"/>
    <w:qFormat/>
    <w:rsid w:val="00D30E6F"/>
    <w:pPr>
      <w:keepNext/>
      <w:keepLines/>
      <w:spacing w:before="200"/>
      <w:outlineLvl w:val="1"/>
    </w:pPr>
    <w:rPr>
      <w:rFonts w:ascii="Calibri" w:eastAsia="Times New Roman" w:hAnsi="Calibri"/>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6F"/>
    <w:rPr>
      <w:rFonts w:ascii="Calibri" w:eastAsia="Times New Roman" w:hAnsi="Calibri" w:cs="Times New Roman"/>
      <w:b/>
      <w:bCs/>
      <w:color w:val="345A8A"/>
      <w:sz w:val="32"/>
      <w:szCs w:val="32"/>
      <w:lang w:val="en-US"/>
    </w:rPr>
  </w:style>
  <w:style w:type="character" w:customStyle="1" w:styleId="Heading2Char">
    <w:name w:val="Heading 2 Char"/>
    <w:basedOn w:val="DefaultParagraphFont"/>
    <w:link w:val="Heading2"/>
    <w:uiPriority w:val="9"/>
    <w:rsid w:val="00D30E6F"/>
    <w:rPr>
      <w:rFonts w:ascii="Calibri" w:eastAsia="Times New Roman" w:hAnsi="Calibri" w:cs="Times New Roman"/>
      <w:b/>
      <w:bCs/>
      <w:color w:val="4F81BD"/>
      <w:sz w:val="26"/>
      <w:szCs w:val="26"/>
      <w:lang w:val="en-US"/>
    </w:rPr>
  </w:style>
  <w:style w:type="paragraph" w:styleId="Header">
    <w:name w:val="header"/>
    <w:basedOn w:val="Normal"/>
    <w:link w:val="HeaderChar"/>
    <w:uiPriority w:val="99"/>
    <w:unhideWhenUsed/>
    <w:rsid w:val="00FC60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60DC"/>
  </w:style>
  <w:style w:type="paragraph" w:styleId="Footer">
    <w:name w:val="footer"/>
    <w:basedOn w:val="Normal"/>
    <w:link w:val="FooterChar"/>
    <w:uiPriority w:val="99"/>
    <w:unhideWhenUsed/>
    <w:rsid w:val="00FC60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60DC"/>
  </w:style>
  <w:style w:type="paragraph" w:styleId="BalloonText">
    <w:name w:val="Balloon Text"/>
    <w:basedOn w:val="Normal"/>
    <w:link w:val="BalloonTextChar"/>
    <w:uiPriority w:val="99"/>
    <w:semiHidden/>
    <w:unhideWhenUsed/>
    <w:rsid w:val="00FC60D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C60DC"/>
    <w:rPr>
      <w:rFonts w:ascii="Tahoma" w:hAnsi="Tahoma" w:cs="Tahoma"/>
      <w:sz w:val="16"/>
      <w:szCs w:val="16"/>
    </w:rPr>
  </w:style>
  <w:style w:type="paragraph" w:styleId="BodyText">
    <w:name w:val="Body Text"/>
    <w:basedOn w:val="Normal"/>
    <w:link w:val="BodyTextChar"/>
    <w:uiPriority w:val="1"/>
    <w:unhideWhenUsed/>
    <w:qFormat/>
    <w:rsid w:val="00D30E6F"/>
    <w:pPr>
      <w:spacing w:after="120"/>
    </w:pPr>
    <w:rPr>
      <w:rFonts w:ascii="Arial" w:eastAsia="Cambria" w:hAnsi="Arial"/>
      <w:color w:val="141413"/>
      <w:sz w:val="22"/>
      <w:lang w:eastAsia="en-US"/>
    </w:rPr>
  </w:style>
  <w:style w:type="character" w:customStyle="1" w:styleId="BodyTextChar">
    <w:name w:val="Body Text Char"/>
    <w:basedOn w:val="DefaultParagraphFont"/>
    <w:link w:val="BodyText"/>
    <w:uiPriority w:val="1"/>
    <w:rsid w:val="00D30E6F"/>
    <w:rPr>
      <w:rFonts w:ascii="Arial" w:eastAsia="Cambria" w:hAnsi="Arial" w:cs="Times New Roman"/>
      <w:color w:val="141413"/>
      <w:szCs w:val="24"/>
      <w:lang w:val="en-US"/>
    </w:rPr>
  </w:style>
  <w:style w:type="paragraph" w:styleId="ListBullet">
    <w:name w:val="List Bullet"/>
    <w:basedOn w:val="Normal"/>
    <w:uiPriority w:val="99"/>
    <w:unhideWhenUsed/>
    <w:rsid w:val="00D30E6F"/>
    <w:pPr>
      <w:numPr>
        <w:numId w:val="2"/>
      </w:numPr>
      <w:contextualSpacing/>
    </w:pPr>
    <w:rPr>
      <w:rFonts w:ascii="Arial" w:eastAsia="Cambria" w:hAnsi="Arial"/>
      <w:color w:val="141413"/>
      <w:sz w:val="22"/>
      <w:lang w:eastAsia="en-US"/>
    </w:rPr>
  </w:style>
  <w:style w:type="paragraph" w:styleId="NormalWeb">
    <w:name w:val="Normal (Web)"/>
    <w:basedOn w:val="Normal"/>
    <w:uiPriority w:val="99"/>
    <w:unhideWhenUsed/>
    <w:rsid w:val="0099721F"/>
    <w:rPr>
      <w:rFonts w:eastAsiaTheme="minorHAnsi"/>
      <w:lang w:eastAsia="en-GB"/>
    </w:rPr>
  </w:style>
  <w:style w:type="table" w:styleId="TableGrid">
    <w:name w:val="Table Grid"/>
    <w:basedOn w:val="TableNormal"/>
    <w:uiPriority w:val="39"/>
    <w:rsid w:val="002A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65C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65C5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B63A8A"/>
    <w:rPr>
      <w:color w:val="0000FF" w:themeColor="hyperlink"/>
      <w:u w:val="single"/>
    </w:rPr>
  </w:style>
  <w:style w:type="paragraph" w:styleId="ListParagraph">
    <w:name w:val="List Paragraph"/>
    <w:basedOn w:val="Normal"/>
    <w:uiPriority w:val="34"/>
    <w:qFormat/>
    <w:rsid w:val="00045013"/>
    <w:pPr>
      <w:ind w:left="720"/>
      <w:contextualSpacing/>
    </w:pPr>
  </w:style>
  <w:style w:type="character" w:styleId="CommentReference">
    <w:name w:val="annotation reference"/>
    <w:basedOn w:val="DefaultParagraphFont"/>
    <w:uiPriority w:val="99"/>
    <w:semiHidden/>
    <w:unhideWhenUsed/>
    <w:rsid w:val="008832AE"/>
    <w:rPr>
      <w:sz w:val="16"/>
      <w:szCs w:val="16"/>
    </w:rPr>
  </w:style>
  <w:style w:type="paragraph" w:styleId="CommentText">
    <w:name w:val="annotation text"/>
    <w:basedOn w:val="Normal"/>
    <w:link w:val="CommentTextChar"/>
    <w:uiPriority w:val="99"/>
    <w:semiHidden/>
    <w:unhideWhenUsed/>
    <w:rsid w:val="008832AE"/>
    <w:rPr>
      <w:sz w:val="20"/>
      <w:szCs w:val="20"/>
    </w:rPr>
  </w:style>
  <w:style w:type="character" w:customStyle="1" w:styleId="CommentTextChar">
    <w:name w:val="Comment Text Char"/>
    <w:basedOn w:val="DefaultParagraphFont"/>
    <w:link w:val="CommentText"/>
    <w:uiPriority w:val="99"/>
    <w:semiHidden/>
    <w:rsid w:val="008832A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832AE"/>
    <w:rPr>
      <w:b/>
      <w:bCs/>
    </w:rPr>
  </w:style>
  <w:style w:type="character" w:customStyle="1" w:styleId="CommentSubjectChar">
    <w:name w:val="Comment Subject Char"/>
    <w:basedOn w:val="CommentTextChar"/>
    <w:link w:val="CommentSubject"/>
    <w:uiPriority w:val="99"/>
    <w:semiHidden/>
    <w:rsid w:val="008832AE"/>
    <w:rPr>
      <w:rFonts w:ascii="Times New Roman" w:eastAsia="SimSun" w:hAnsi="Times New Roman" w:cs="Times New Roman"/>
      <w:b/>
      <w:bCs/>
      <w:sz w:val="20"/>
      <w:szCs w:val="20"/>
      <w:lang w:eastAsia="zh-CN"/>
    </w:rPr>
  </w:style>
  <w:style w:type="paragraph" w:customStyle="1" w:styleId="TableParagraph">
    <w:name w:val="Table Paragraph"/>
    <w:basedOn w:val="Normal"/>
    <w:uiPriority w:val="1"/>
    <w:qFormat/>
    <w:rsid w:val="00D1359E"/>
    <w:pPr>
      <w:widowControl w:val="0"/>
      <w:autoSpaceDE w:val="0"/>
      <w:autoSpaceDN w:val="0"/>
    </w:pPr>
    <w:rPr>
      <w:rFonts w:ascii="Cambria" w:eastAsia="Cambria" w:hAnsi="Cambria" w:cs="Cambria"/>
      <w:sz w:val="22"/>
      <w:szCs w:val="22"/>
      <w:lang w:eastAsia="en-GB" w:bidi="en-GB"/>
    </w:rPr>
  </w:style>
  <w:style w:type="paragraph" w:styleId="Revision">
    <w:name w:val="Revision"/>
    <w:hidden/>
    <w:uiPriority w:val="99"/>
    <w:semiHidden/>
    <w:rsid w:val="00DE0DDA"/>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685">
      <w:bodyDiv w:val="1"/>
      <w:marLeft w:val="0"/>
      <w:marRight w:val="0"/>
      <w:marTop w:val="0"/>
      <w:marBottom w:val="0"/>
      <w:divBdr>
        <w:top w:val="none" w:sz="0" w:space="0" w:color="auto"/>
        <w:left w:val="none" w:sz="0" w:space="0" w:color="auto"/>
        <w:bottom w:val="none" w:sz="0" w:space="0" w:color="auto"/>
        <w:right w:val="none" w:sz="0" w:space="0" w:color="auto"/>
      </w:divBdr>
    </w:div>
    <w:div w:id="307129867">
      <w:bodyDiv w:val="1"/>
      <w:marLeft w:val="0"/>
      <w:marRight w:val="0"/>
      <w:marTop w:val="0"/>
      <w:marBottom w:val="0"/>
      <w:divBdr>
        <w:top w:val="none" w:sz="0" w:space="0" w:color="auto"/>
        <w:left w:val="none" w:sz="0" w:space="0" w:color="auto"/>
        <w:bottom w:val="none" w:sz="0" w:space="0" w:color="auto"/>
        <w:right w:val="none" w:sz="0" w:space="0" w:color="auto"/>
      </w:divBdr>
    </w:div>
    <w:div w:id="789785466">
      <w:bodyDiv w:val="1"/>
      <w:marLeft w:val="0"/>
      <w:marRight w:val="0"/>
      <w:marTop w:val="0"/>
      <w:marBottom w:val="0"/>
      <w:divBdr>
        <w:top w:val="none" w:sz="0" w:space="0" w:color="auto"/>
        <w:left w:val="none" w:sz="0" w:space="0" w:color="auto"/>
        <w:bottom w:val="none" w:sz="0" w:space="0" w:color="auto"/>
        <w:right w:val="none" w:sz="0" w:space="0" w:color="auto"/>
      </w:divBdr>
    </w:div>
    <w:div w:id="964308175">
      <w:bodyDiv w:val="1"/>
      <w:marLeft w:val="0"/>
      <w:marRight w:val="0"/>
      <w:marTop w:val="0"/>
      <w:marBottom w:val="0"/>
      <w:divBdr>
        <w:top w:val="none" w:sz="0" w:space="0" w:color="auto"/>
        <w:left w:val="none" w:sz="0" w:space="0" w:color="auto"/>
        <w:bottom w:val="none" w:sz="0" w:space="0" w:color="auto"/>
        <w:right w:val="none" w:sz="0" w:space="0" w:color="auto"/>
      </w:divBdr>
    </w:div>
    <w:div w:id="1095056551">
      <w:bodyDiv w:val="1"/>
      <w:marLeft w:val="0"/>
      <w:marRight w:val="0"/>
      <w:marTop w:val="0"/>
      <w:marBottom w:val="0"/>
      <w:divBdr>
        <w:top w:val="none" w:sz="0" w:space="0" w:color="auto"/>
        <w:left w:val="none" w:sz="0" w:space="0" w:color="auto"/>
        <w:bottom w:val="none" w:sz="0" w:space="0" w:color="auto"/>
        <w:right w:val="none" w:sz="0" w:space="0" w:color="auto"/>
      </w:divBdr>
    </w:div>
    <w:div w:id="1460296364">
      <w:bodyDiv w:val="1"/>
      <w:marLeft w:val="0"/>
      <w:marRight w:val="0"/>
      <w:marTop w:val="0"/>
      <w:marBottom w:val="0"/>
      <w:divBdr>
        <w:top w:val="none" w:sz="0" w:space="0" w:color="auto"/>
        <w:left w:val="none" w:sz="0" w:space="0" w:color="auto"/>
        <w:bottom w:val="none" w:sz="0" w:space="0" w:color="auto"/>
        <w:right w:val="none" w:sz="0" w:space="0" w:color="auto"/>
      </w:divBdr>
    </w:div>
    <w:div w:id="1673725795">
      <w:bodyDiv w:val="1"/>
      <w:marLeft w:val="0"/>
      <w:marRight w:val="0"/>
      <w:marTop w:val="0"/>
      <w:marBottom w:val="0"/>
      <w:divBdr>
        <w:top w:val="none" w:sz="0" w:space="0" w:color="auto"/>
        <w:left w:val="none" w:sz="0" w:space="0" w:color="auto"/>
        <w:bottom w:val="none" w:sz="0" w:space="0" w:color="auto"/>
        <w:right w:val="none" w:sz="0" w:space="0" w:color="auto"/>
      </w:divBdr>
    </w:div>
    <w:div w:id="1886526979">
      <w:bodyDiv w:val="1"/>
      <w:marLeft w:val="0"/>
      <w:marRight w:val="0"/>
      <w:marTop w:val="0"/>
      <w:marBottom w:val="0"/>
      <w:divBdr>
        <w:top w:val="none" w:sz="0" w:space="0" w:color="auto"/>
        <w:left w:val="none" w:sz="0" w:space="0" w:color="auto"/>
        <w:bottom w:val="none" w:sz="0" w:space="0" w:color="auto"/>
        <w:right w:val="none" w:sz="0" w:space="0" w:color="auto"/>
      </w:divBdr>
    </w:div>
    <w:div w:id="1934312388">
      <w:bodyDiv w:val="1"/>
      <w:marLeft w:val="0"/>
      <w:marRight w:val="0"/>
      <w:marTop w:val="0"/>
      <w:marBottom w:val="0"/>
      <w:divBdr>
        <w:top w:val="none" w:sz="0" w:space="0" w:color="auto"/>
        <w:left w:val="none" w:sz="0" w:space="0" w:color="auto"/>
        <w:bottom w:val="none" w:sz="0" w:space="0" w:color="auto"/>
        <w:right w:val="none" w:sz="0" w:space="0" w:color="auto"/>
      </w:divBdr>
    </w:div>
    <w:div w:id="2056394013">
      <w:bodyDiv w:val="1"/>
      <w:marLeft w:val="0"/>
      <w:marRight w:val="0"/>
      <w:marTop w:val="0"/>
      <w:marBottom w:val="0"/>
      <w:divBdr>
        <w:top w:val="none" w:sz="0" w:space="0" w:color="auto"/>
        <w:left w:val="none" w:sz="0" w:space="0" w:color="auto"/>
        <w:bottom w:val="none" w:sz="0" w:space="0" w:color="auto"/>
        <w:right w:val="none" w:sz="0" w:space="0" w:color="auto"/>
      </w:divBdr>
    </w:div>
    <w:div w:id="2123181934">
      <w:bodyDiv w:val="1"/>
      <w:marLeft w:val="0"/>
      <w:marRight w:val="0"/>
      <w:marTop w:val="0"/>
      <w:marBottom w:val="0"/>
      <w:divBdr>
        <w:top w:val="none" w:sz="0" w:space="0" w:color="auto"/>
        <w:left w:val="none" w:sz="0" w:space="0" w:color="auto"/>
        <w:bottom w:val="none" w:sz="0" w:space="0" w:color="auto"/>
        <w:right w:val="none" w:sz="0" w:space="0" w:color="auto"/>
      </w:divBdr>
    </w:div>
    <w:div w:id="2129273044">
      <w:bodyDiv w:val="1"/>
      <w:marLeft w:val="0"/>
      <w:marRight w:val="0"/>
      <w:marTop w:val="0"/>
      <w:marBottom w:val="0"/>
      <w:divBdr>
        <w:top w:val="none" w:sz="0" w:space="0" w:color="auto"/>
        <w:left w:val="none" w:sz="0" w:space="0" w:color="auto"/>
        <w:bottom w:val="none" w:sz="0" w:space="0" w:color="auto"/>
        <w:right w:val="none" w:sz="0" w:space="0" w:color="auto"/>
      </w:divBdr>
    </w:div>
    <w:div w:id="21335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6277-9FBA-47EB-9B38-67193857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Gray</dc:creator>
  <cp:lastModifiedBy>Mona Tank</cp:lastModifiedBy>
  <cp:revision>8</cp:revision>
  <cp:lastPrinted>2014-07-15T07:21:00Z</cp:lastPrinted>
  <dcterms:created xsi:type="dcterms:W3CDTF">2023-11-09T12:25:00Z</dcterms:created>
  <dcterms:modified xsi:type="dcterms:W3CDTF">2023-11-23T09:27:00Z</dcterms:modified>
</cp:coreProperties>
</file>